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0A" w:rsidRPr="00B220F6" w:rsidRDefault="002C0C88" w:rsidP="00CB336D">
      <w:pPr>
        <w:jc w:val="center"/>
        <w:outlineLvl w:val="0"/>
        <w:rPr>
          <w:rFonts w:ascii="Garamond" w:hAnsi="Garamond"/>
          <w:b/>
          <w:sz w:val="20"/>
        </w:rPr>
      </w:pPr>
      <w:bookmarkStart w:id="0" w:name="_GoBack"/>
      <w:bookmarkEnd w:id="0"/>
      <w:r w:rsidRPr="00B220F6">
        <w:rPr>
          <w:rFonts w:ascii="Garamond" w:hAnsi="Garamond"/>
          <w:b/>
          <w:sz w:val="20"/>
        </w:rPr>
        <w:t xml:space="preserve">COMBINED </w:t>
      </w:r>
      <w:r w:rsidR="002E680A" w:rsidRPr="00B220F6">
        <w:rPr>
          <w:rFonts w:ascii="Garamond" w:hAnsi="Garamond"/>
          <w:b/>
          <w:sz w:val="20"/>
        </w:rPr>
        <w:t>EMPLOYMENT PRACTICES</w:t>
      </w:r>
      <w:r w:rsidRPr="00B220F6">
        <w:rPr>
          <w:rFonts w:ascii="Garamond" w:hAnsi="Garamond"/>
          <w:b/>
          <w:sz w:val="20"/>
        </w:rPr>
        <w:t>, DIRECTOR’S &amp; OFFICERS, AND FIDUCIARY POLICY</w:t>
      </w:r>
    </w:p>
    <w:p w:rsidR="002E680A" w:rsidRPr="00B220F6" w:rsidRDefault="002E680A" w:rsidP="00CB336D">
      <w:pPr>
        <w:jc w:val="center"/>
        <w:outlineLvl w:val="0"/>
        <w:rPr>
          <w:rFonts w:ascii="Garamond" w:hAnsi="Garamond"/>
          <w:b/>
          <w:sz w:val="20"/>
        </w:rPr>
      </w:pPr>
      <w:r w:rsidRPr="00B220F6">
        <w:rPr>
          <w:rFonts w:ascii="Garamond" w:hAnsi="Garamond"/>
          <w:b/>
          <w:sz w:val="20"/>
        </w:rPr>
        <w:t>PROGRAM HIGHLIGHTS</w:t>
      </w:r>
      <w:r w:rsidR="00D20EF7" w:rsidRPr="00B220F6">
        <w:rPr>
          <w:rFonts w:ascii="Garamond" w:hAnsi="Garamond"/>
          <w:b/>
          <w:sz w:val="20"/>
        </w:rPr>
        <w:t xml:space="preserve"> </w:t>
      </w:r>
    </w:p>
    <w:p w:rsidR="00840F1F" w:rsidRDefault="00840F1F" w:rsidP="0057012D">
      <w:pPr>
        <w:spacing w:before="120" w:line="204" w:lineRule="auto"/>
        <w:outlineLvl w:val="0"/>
        <w:rPr>
          <w:rFonts w:ascii="Garamond" w:hAnsi="Garamond"/>
          <w:b/>
          <w:i/>
          <w:kern w:val="20"/>
          <w:sz w:val="20"/>
        </w:rPr>
      </w:pPr>
    </w:p>
    <w:p w:rsidR="002E680A" w:rsidRPr="0057012D" w:rsidRDefault="002C0C88" w:rsidP="0057012D">
      <w:pPr>
        <w:spacing w:before="120" w:line="204" w:lineRule="auto"/>
        <w:outlineLvl w:val="0"/>
        <w:rPr>
          <w:rFonts w:ascii="Garamond" w:hAnsi="Garamond"/>
          <w:b/>
          <w:i/>
          <w:kern w:val="20"/>
          <w:sz w:val="20"/>
        </w:rPr>
      </w:pPr>
      <w:r w:rsidRPr="0057012D">
        <w:rPr>
          <w:rFonts w:ascii="Garamond" w:hAnsi="Garamond"/>
          <w:b/>
          <w:i/>
          <w:kern w:val="20"/>
          <w:sz w:val="20"/>
        </w:rPr>
        <w:t>Insurance Provider</w:t>
      </w:r>
      <w:r w:rsidR="002E680A" w:rsidRPr="0057012D">
        <w:rPr>
          <w:rFonts w:ascii="Garamond" w:hAnsi="Garamond"/>
          <w:b/>
          <w:i/>
          <w:kern w:val="20"/>
          <w:sz w:val="20"/>
        </w:rPr>
        <w:t>:</w:t>
      </w:r>
    </w:p>
    <w:p w:rsidR="00741492" w:rsidRPr="0057012D" w:rsidRDefault="00741492" w:rsidP="0057012D">
      <w:pPr>
        <w:numPr>
          <w:ilvl w:val="0"/>
          <w:numId w:val="9"/>
        </w:numPr>
        <w:spacing w:line="204" w:lineRule="auto"/>
        <w:rPr>
          <w:rFonts w:ascii="Garamond" w:hAnsi="Garamond"/>
          <w:color w:val="AC2D73"/>
          <w:kern w:val="20"/>
          <w:sz w:val="20"/>
          <w:lang w:val="fr-FR"/>
        </w:rPr>
      </w:pPr>
      <w:r w:rsidRPr="0057012D">
        <w:rPr>
          <w:rFonts w:ascii="Garamond" w:hAnsi="Garamond"/>
          <w:color w:val="AC2D73"/>
          <w:kern w:val="20"/>
          <w:sz w:val="20"/>
          <w:lang w:val="fr-FR"/>
        </w:rPr>
        <w:t xml:space="preserve">Beazley A.M. Best </w:t>
      </w:r>
      <w:r w:rsidR="00C11748" w:rsidRPr="0057012D">
        <w:rPr>
          <w:rFonts w:ascii="Garamond" w:hAnsi="Garamond"/>
          <w:color w:val="AC2D73"/>
          <w:kern w:val="20"/>
          <w:sz w:val="20"/>
          <w:lang w:val="fr-FR"/>
        </w:rPr>
        <w:t>R</w:t>
      </w:r>
      <w:r w:rsidRPr="0057012D">
        <w:rPr>
          <w:rFonts w:ascii="Garamond" w:hAnsi="Garamond"/>
          <w:color w:val="AC2D73"/>
          <w:kern w:val="20"/>
          <w:sz w:val="20"/>
          <w:lang w:val="fr-FR"/>
        </w:rPr>
        <w:t>ating A, Issuer Credit Rating (ICR) A+</w:t>
      </w:r>
      <w:r w:rsidR="00065474" w:rsidRPr="0057012D">
        <w:rPr>
          <w:rFonts w:ascii="Garamond" w:hAnsi="Garamond"/>
          <w:color w:val="AC2D73"/>
          <w:kern w:val="20"/>
          <w:sz w:val="20"/>
          <w:lang w:val="fr-FR"/>
        </w:rPr>
        <w:t xml:space="preserve"> </w:t>
      </w:r>
      <w:r w:rsidR="00E92373" w:rsidRPr="0057012D">
        <w:rPr>
          <w:rFonts w:ascii="Garamond" w:hAnsi="Garamond"/>
          <w:color w:val="AC2D73"/>
          <w:kern w:val="20"/>
          <w:sz w:val="20"/>
          <w:lang w:val="fr-FR"/>
        </w:rPr>
        <w:t xml:space="preserve"> </w:t>
      </w:r>
      <w:r w:rsidR="00065474" w:rsidRPr="0057012D">
        <w:rPr>
          <w:rFonts w:ascii="Garamond" w:hAnsi="Garamond"/>
          <w:color w:val="AC2D73"/>
          <w:kern w:val="20"/>
          <w:sz w:val="20"/>
          <w:lang w:val="fr-FR"/>
        </w:rPr>
        <w:t xml:space="preserve"> </w:t>
      </w:r>
      <w:r w:rsidRPr="0057012D">
        <w:rPr>
          <w:rFonts w:ascii="Garamond" w:hAnsi="Garamond"/>
          <w:color w:val="AC2D73"/>
          <w:kern w:val="20"/>
          <w:sz w:val="20"/>
          <w:lang w:val="fr-FR"/>
        </w:rPr>
        <w:t xml:space="preserve"> </w:t>
      </w:r>
    </w:p>
    <w:p w:rsidR="002454D0" w:rsidRPr="0057012D" w:rsidRDefault="002403C8" w:rsidP="0057012D">
      <w:pPr>
        <w:spacing w:before="120" w:line="204" w:lineRule="auto"/>
        <w:outlineLvl w:val="0"/>
        <w:rPr>
          <w:rFonts w:ascii="Garamond" w:hAnsi="Garamond"/>
          <w:b/>
          <w:i/>
          <w:kern w:val="20"/>
          <w:sz w:val="20"/>
        </w:rPr>
      </w:pPr>
      <w:r w:rsidRPr="0057012D">
        <w:rPr>
          <w:rFonts w:ascii="Garamond" w:hAnsi="Garamond"/>
          <w:b/>
          <w:i/>
          <w:kern w:val="20"/>
          <w:sz w:val="20"/>
        </w:rPr>
        <w:t xml:space="preserve">Program Coverage </w:t>
      </w:r>
      <w:r w:rsidR="00065474" w:rsidRPr="0057012D">
        <w:rPr>
          <w:rFonts w:ascii="Garamond" w:hAnsi="Garamond"/>
          <w:b/>
          <w:i/>
          <w:kern w:val="20"/>
          <w:sz w:val="20"/>
        </w:rPr>
        <w:t>Include</w:t>
      </w:r>
      <w:r w:rsidR="0082052D" w:rsidRPr="0057012D">
        <w:rPr>
          <w:rFonts w:ascii="Garamond" w:hAnsi="Garamond"/>
          <w:b/>
          <w:i/>
          <w:kern w:val="20"/>
          <w:sz w:val="20"/>
        </w:rPr>
        <w:t>s</w:t>
      </w:r>
      <w:r w:rsidRPr="0057012D">
        <w:rPr>
          <w:rFonts w:ascii="Garamond" w:hAnsi="Garamond"/>
          <w:b/>
          <w:i/>
          <w:kern w:val="20"/>
          <w:sz w:val="20"/>
        </w:rPr>
        <w:t>:</w:t>
      </w:r>
      <w:r w:rsidR="00E92373" w:rsidRPr="0057012D">
        <w:rPr>
          <w:rFonts w:ascii="Garamond" w:hAnsi="Garamond"/>
          <w:b/>
          <w:i/>
          <w:kern w:val="20"/>
          <w:sz w:val="20"/>
        </w:rPr>
        <w:t xml:space="preserve"> </w:t>
      </w:r>
      <w:r w:rsidR="00E92373" w:rsidRPr="0057012D">
        <w:rPr>
          <w:rFonts w:ascii="Garamond" w:hAnsi="Garamond"/>
          <w:kern w:val="20"/>
          <w:sz w:val="20"/>
        </w:rPr>
        <w:t xml:space="preserve">(All </w:t>
      </w:r>
      <w:r w:rsidR="0082052D" w:rsidRPr="0057012D">
        <w:rPr>
          <w:rFonts w:ascii="Garamond" w:hAnsi="Garamond"/>
          <w:kern w:val="20"/>
          <w:sz w:val="20"/>
        </w:rPr>
        <w:t>i</w:t>
      </w:r>
      <w:r w:rsidR="00E92373" w:rsidRPr="0057012D">
        <w:rPr>
          <w:rFonts w:ascii="Garamond" w:hAnsi="Garamond"/>
          <w:kern w:val="20"/>
          <w:sz w:val="20"/>
        </w:rPr>
        <w:t xml:space="preserve">n </w:t>
      </w:r>
      <w:r w:rsidR="0082052D" w:rsidRPr="0057012D">
        <w:rPr>
          <w:rFonts w:ascii="Garamond" w:hAnsi="Garamond"/>
          <w:kern w:val="20"/>
          <w:sz w:val="20"/>
        </w:rPr>
        <w:t>a</w:t>
      </w:r>
      <w:r w:rsidR="00E92373" w:rsidRPr="0057012D">
        <w:rPr>
          <w:rFonts w:ascii="Garamond" w:hAnsi="Garamond"/>
          <w:kern w:val="20"/>
          <w:sz w:val="20"/>
        </w:rPr>
        <w:t xml:space="preserve"> Single Integrated Policy Form.)</w:t>
      </w:r>
    </w:p>
    <w:p w:rsidR="002454D0" w:rsidRPr="0057012D" w:rsidRDefault="0052039D" w:rsidP="0057012D">
      <w:pPr>
        <w:pStyle w:val="ListParagraph"/>
        <w:numPr>
          <w:ilvl w:val="0"/>
          <w:numId w:val="9"/>
        </w:numPr>
        <w:spacing w:line="204" w:lineRule="auto"/>
        <w:outlineLvl w:val="0"/>
        <w:rPr>
          <w:rFonts w:ascii="Garamond" w:hAnsi="Garamond"/>
          <w:b/>
          <w:i/>
          <w:kern w:val="20"/>
          <w:sz w:val="20"/>
        </w:rPr>
      </w:pPr>
      <w:r w:rsidRPr="0057012D">
        <w:rPr>
          <w:rFonts w:ascii="Garamond" w:hAnsi="Garamond"/>
          <w:kern w:val="20"/>
          <w:sz w:val="20"/>
        </w:rPr>
        <w:t>Employment Practices Liability</w:t>
      </w:r>
      <w:r w:rsidR="00BB211E" w:rsidRPr="0057012D">
        <w:rPr>
          <w:rFonts w:ascii="Garamond" w:hAnsi="Garamond"/>
          <w:kern w:val="20"/>
          <w:sz w:val="20"/>
        </w:rPr>
        <w:t xml:space="preserve"> Coverage </w:t>
      </w:r>
      <w:r w:rsidR="00C11748" w:rsidRPr="0057012D">
        <w:rPr>
          <w:rFonts w:ascii="Garamond" w:hAnsi="Garamond"/>
          <w:kern w:val="20"/>
          <w:sz w:val="20"/>
        </w:rPr>
        <w:t>A</w:t>
      </w:r>
      <w:r w:rsidR="00670740" w:rsidRPr="0057012D">
        <w:rPr>
          <w:rFonts w:ascii="Garamond" w:hAnsi="Garamond"/>
          <w:kern w:val="20"/>
          <w:sz w:val="20"/>
        </w:rPr>
        <w:t xml:space="preserve">ggregate </w:t>
      </w:r>
      <w:r w:rsidR="00C11748" w:rsidRPr="0057012D">
        <w:rPr>
          <w:rFonts w:ascii="Garamond" w:hAnsi="Garamond"/>
          <w:kern w:val="20"/>
          <w:sz w:val="20"/>
        </w:rPr>
        <w:t>L</w:t>
      </w:r>
      <w:r w:rsidR="00670740" w:rsidRPr="0057012D">
        <w:rPr>
          <w:rFonts w:ascii="Garamond" w:hAnsi="Garamond"/>
          <w:kern w:val="20"/>
          <w:sz w:val="20"/>
        </w:rPr>
        <w:t xml:space="preserve">imits </w:t>
      </w:r>
    </w:p>
    <w:p w:rsidR="00B52E37" w:rsidRPr="00B52E37" w:rsidRDefault="002403C8" w:rsidP="0057012D">
      <w:pPr>
        <w:pStyle w:val="ListParagraph"/>
        <w:numPr>
          <w:ilvl w:val="0"/>
          <w:numId w:val="9"/>
        </w:numPr>
        <w:spacing w:line="204" w:lineRule="auto"/>
        <w:outlineLvl w:val="0"/>
        <w:rPr>
          <w:rFonts w:ascii="Garamond" w:hAnsi="Garamond"/>
          <w:b/>
          <w:i/>
          <w:kern w:val="20"/>
          <w:sz w:val="20"/>
        </w:rPr>
      </w:pPr>
      <w:r w:rsidRPr="00B52E37">
        <w:rPr>
          <w:rFonts w:ascii="Garamond" w:hAnsi="Garamond"/>
          <w:kern w:val="20"/>
          <w:sz w:val="20"/>
        </w:rPr>
        <w:t>D</w:t>
      </w:r>
      <w:r w:rsidR="00065474" w:rsidRPr="00B52E37">
        <w:rPr>
          <w:rFonts w:ascii="Garamond" w:hAnsi="Garamond"/>
          <w:kern w:val="20"/>
          <w:sz w:val="20"/>
        </w:rPr>
        <w:t xml:space="preserve">irectors &amp; Officers Coverage </w:t>
      </w:r>
    </w:p>
    <w:p w:rsidR="00B52E37" w:rsidRPr="00B52E37" w:rsidRDefault="002403C8" w:rsidP="0057012D">
      <w:pPr>
        <w:pStyle w:val="ListParagraph"/>
        <w:numPr>
          <w:ilvl w:val="0"/>
          <w:numId w:val="9"/>
        </w:numPr>
        <w:spacing w:before="120" w:line="204" w:lineRule="auto"/>
        <w:outlineLvl w:val="0"/>
        <w:rPr>
          <w:rFonts w:ascii="Garamond" w:hAnsi="Garamond"/>
          <w:b/>
          <w:i/>
          <w:kern w:val="20"/>
          <w:sz w:val="20"/>
        </w:rPr>
      </w:pPr>
      <w:r w:rsidRPr="00B52E37">
        <w:rPr>
          <w:rFonts w:ascii="Garamond" w:hAnsi="Garamond"/>
          <w:kern w:val="20"/>
          <w:sz w:val="20"/>
        </w:rPr>
        <w:t>F</w:t>
      </w:r>
      <w:r w:rsidR="0082052D" w:rsidRPr="00B52E37">
        <w:rPr>
          <w:rFonts w:ascii="Garamond" w:hAnsi="Garamond"/>
          <w:kern w:val="20"/>
          <w:sz w:val="20"/>
        </w:rPr>
        <w:t xml:space="preserve">iduciary Coverage </w:t>
      </w:r>
    </w:p>
    <w:p w:rsidR="00E10C80" w:rsidRPr="00B52E37" w:rsidRDefault="00E10C80" w:rsidP="0057012D">
      <w:pPr>
        <w:pStyle w:val="ListParagraph"/>
        <w:numPr>
          <w:ilvl w:val="0"/>
          <w:numId w:val="9"/>
        </w:numPr>
        <w:spacing w:before="120" w:line="204" w:lineRule="auto"/>
        <w:outlineLvl w:val="0"/>
        <w:rPr>
          <w:rFonts w:ascii="Garamond" w:hAnsi="Garamond"/>
          <w:b/>
          <w:i/>
          <w:kern w:val="20"/>
          <w:sz w:val="20"/>
        </w:rPr>
      </w:pPr>
      <w:r w:rsidRPr="00B52E37">
        <w:rPr>
          <w:rFonts w:ascii="Garamond" w:hAnsi="Garamond"/>
          <w:b/>
          <w:i/>
          <w:kern w:val="20"/>
          <w:sz w:val="20"/>
        </w:rPr>
        <w:t>Program Options:</w:t>
      </w:r>
    </w:p>
    <w:p w:rsidR="00E10C80" w:rsidRPr="0057012D" w:rsidRDefault="00E10C80" w:rsidP="0057012D">
      <w:pPr>
        <w:numPr>
          <w:ilvl w:val="0"/>
          <w:numId w:val="21"/>
        </w:numPr>
        <w:spacing w:line="204" w:lineRule="auto"/>
        <w:rPr>
          <w:rFonts w:ascii="Garamond" w:hAnsi="Garamond"/>
          <w:kern w:val="20"/>
          <w:sz w:val="20"/>
        </w:rPr>
      </w:pPr>
      <w:r w:rsidRPr="0057012D">
        <w:rPr>
          <w:rFonts w:ascii="Garamond" w:hAnsi="Garamond"/>
          <w:kern w:val="20"/>
          <w:sz w:val="20"/>
        </w:rPr>
        <w:t>SIR from 5K to 10K, higher retentions available upon request</w:t>
      </w:r>
      <w:r w:rsidR="0082052D" w:rsidRPr="0057012D">
        <w:rPr>
          <w:rFonts w:ascii="Garamond" w:hAnsi="Garamond"/>
          <w:kern w:val="20"/>
          <w:sz w:val="20"/>
        </w:rPr>
        <w:t>.</w:t>
      </w:r>
    </w:p>
    <w:p w:rsidR="00E10C80" w:rsidRPr="0057012D" w:rsidRDefault="00E10C80" w:rsidP="0057012D">
      <w:pPr>
        <w:numPr>
          <w:ilvl w:val="0"/>
          <w:numId w:val="21"/>
        </w:numPr>
        <w:spacing w:line="204" w:lineRule="auto"/>
        <w:rPr>
          <w:rFonts w:ascii="Garamond" w:hAnsi="Garamond"/>
          <w:kern w:val="20"/>
          <w:sz w:val="20"/>
        </w:rPr>
      </w:pPr>
      <w:r w:rsidRPr="0057012D">
        <w:rPr>
          <w:rFonts w:ascii="Garamond" w:hAnsi="Garamond"/>
          <w:kern w:val="20"/>
          <w:sz w:val="20"/>
        </w:rPr>
        <w:t xml:space="preserve">Limit </w:t>
      </w:r>
      <w:r w:rsidR="002F5468" w:rsidRPr="0057012D">
        <w:rPr>
          <w:rFonts w:ascii="Garamond" w:hAnsi="Garamond"/>
          <w:kern w:val="20"/>
          <w:sz w:val="20"/>
        </w:rPr>
        <w:t>for EPLI</w:t>
      </w:r>
      <w:r w:rsidRPr="0057012D">
        <w:rPr>
          <w:rFonts w:ascii="Garamond" w:hAnsi="Garamond"/>
          <w:kern w:val="20"/>
          <w:sz w:val="20"/>
        </w:rPr>
        <w:t xml:space="preserve"> from $1,000,000/$3,000,000. </w:t>
      </w:r>
      <w:r w:rsidR="007860CA" w:rsidRPr="0057012D">
        <w:rPr>
          <w:rFonts w:ascii="Garamond" w:hAnsi="Garamond"/>
          <w:kern w:val="20"/>
          <w:sz w:val="20"/>
        </w:rPr>
        <w:t>Other</w:t>
      </w:r>
      <w:r w:rsidRPr="0057012D">
        <w:rPr>
          <w:rFonts w:ascii="Garamond" w:hAnsi="Garamond"/>
          <w:kern w:val="20"/>
          <w:sz w:val="20"/>
        </w:rPr>
        <w:t xml:space="preserve"> limits available</w:t>
      </w:r>
      <w:r w:rsidR="0082052D" w:rsidRPr="0057012D">
        <w:rPr>
          <w:rFonts w:ascii="Garamond" w:hAnsi="Garamond"/>
          <w:kern w:val="20"/>
          <w:sz w:val="20"/>
        </w:rPr>
        <w:t>.</w:t>
      </w:r>
      <w:r w:rsidRPr="0057012D">
        <w:rPr>
          <w:rFonts w:ascii="Garamond" w:hAnsi="Garamond"/>
          <w:kern w:val="20"/>
          <w:sz w:val="20"/>
        </w:rPr>
        <w:t xml:space="preserve">  </w:t>
      </w:r>
    </w:p>
    <w:p w:rsidR="002F5468" w:rsidRDefault="002F5468" w:rsidP="0057012D">
      <w:pPr>
        <w:numPr>
          <w:ilvl w:val="0"/>
          <w:numId w:val="21"/>
        </w:numPr>
        <w:spacing w:line="204" w:lineRule="auto"/>
        <w:rPr>
          <w:rFonts w:ascii="Garamond" w:hAnsi="Garamond"/>
          <w:kern w:val="20"/>
          <w:sz w:val="20"/>
        </w:rPr>
      </w:pPr>
      <w:r w:rsidRPr="0057012D">
        <w:rPr>
          <w:rFonts w:ascii="Garamond" w:hAnsi="Garamond"/>
          <w:kern w:val="20"/>
          <w:sz w:val="20"/>
        </w:rPr>
        <w:t>Other limits noted above are available at higher limits subject to additional applicat</w:t>
      </w:r>
      <w:r w:rsidR="00670740" w:rsidRPr="0057012D">
        <w:rPr>
          <w:rFonts w:ascii="Garamond" w:hAnsi="Garamond"/>
          <w:kern w:val="20"/>
          <w:sz w:val="20"/>
        </w:rPr>
        <w:t>i</w:t>
      </w:r>
      <w:r w:rsidRPr="0057012D">
        <w:rPr>
          <w:rFonts w:ascii="Garamond" w:hAnsi="Garamond"/>
          <w:kern w:val="20"/>
          <w:sz w:val="20"/>
        </w:rPr>
        <w:t>ons</w:t>
      </w:r>
      <w:r w:rsidR="0082052D" w:rsidRPr="0057012D">
        <w:rPr>
          <w:rFonts w:ascii="Garamond" w:hAnsi="Garamond"/>
          <w:kern w:val="20"/>
          <w:sz w:val="20"/>
        </w:rPr>
        <w:t>.</w:t>
      </w:r>
    </w:p>
    <w:p w:rsidR="00B52E37" w:rsidRPr="0057012D" w:rsidRDefault="00B52E37" w:rsidP="00B52E37">
      <w:pPr>
        <w:pStyle w:val="ListParagraph"/>
        <w:numPr>
          <w:ilvl w:val="0"/>
          <w:numId w:val="21"/>
        </w:numPr>
        <w:spacing w:line="204" w:lineRule="auto"/>
        <w:outlineLvl w:val="0"/>
        <w:rPr>
          <w:rFonts w:ascii="Garamond" w:hAnsi="Garamond"/>
          <w:b/>
          <w:i/>
          <w:kern w:val="20"/>
          <w:sz w:val="20"/>
        </w:rPr>
      </w:pPr>
      <w:r w:rsidRPr="0057012D">
        <w:rPr>
          <w:rFonts w:ascii="Garamond" w:hAnsi="Garamond"/>
          <w:kern w:val="20"/>
          <w:sz w:val="20"/>
        </w:rPr>
        <w:t>Wage and Hour  Defense Sub-limit</w:t>
      </w:r>
    </w:p>
    <w:p w:rsidR="00B52E37" w:rsidRPr="0057012D" w:rsidRDefault="00B52E37" w:rsidP="00B52E37">
      <w:pPr>
        <w:pStyle w:val="ListParagraph"/>
        <w:numPr>
          <w:ilvl w:val="0"/>
          <w:numId w:val="21"/>
        </w:numPr>
        <w:spacing w:line="204" w:lineRule="auto"/>
        <w:outlineLvl w:val="0"/>
        <w:rPr>
          <w:rFonts w:ascii="Garamond" w:hAnsi="Garamond"/>
          <w:b/>
          <w:i/>
          <w:kern w:val="20"/>
          <w:sz w:val="20"/>
        </w:rPr>
      </w:pPr>
      <w:r w:rsidRPr="0057012D">
        <w:rPr>
          <w:rFonts w:ascii="Garamond" w:hAnsi="Garamond"/>
          <w:kern w:val="20"/>
          <w:sz w:val="20"/>
        </w:rPr>
        <w:t xml:space="preserve">Immigration (IRCA) 50K Defense Sub-limit </w:t>
      </w:r>
    </w:p>
    <w:p w:rsidR="00B52E37" w:rsidRPr="0057012D" w:rsidRDefault="00B52E37" w:rsidP="00B52E37">
      <w:pPr>
        <w:spacing w:line="204" w:lineRule="auto"/>
        <w:ind w:left="720"/>
        <w:rPr>
          <w:rFonts w:ascii="Garamond" w:hAnsi="Garamond"/>
          <w:kern w:val="20"/>
          <w:sz w:val="20"/>
        </w:rPr>
      </w:pPr>
    </w:p>
    <w:p w:rsidR="00E92373" w:rsidRPr="0057012D" w:rsidRDefault="00E92373" w:rsidP="0057012D">
      <w:pPr>
        <w:spacing w:before="120" w:line="204" w:lineRule="auto"/>
        <w:outlineLvl w:val="0"/>
        <w:rPr>
          <w:rFonts w:ascii="Garamond" w:hAnsi="Garamond"/>
          <w:kern w:val="20"/>
          <w:sz w:val="20"/>
        </w:rPr>
      </w:pPr>
      <w:r w:rsidRPr="0057012D">
        <w:rPr>
          <w:rFonts w:ascii="Garamond" w:hAnsi="Garamond"/>
          <w:b/>
          <w:i/>
          <w:kern w:val="20"/>
          <w:sz w:val="20"/>
        </w:rPr>
        <w:t xml:space="preserve">Risk Management Services: </w:t>
      </w:r>
      <w:r w:rsidRPr="0057012D">
        <w:rPr>
          <w:rFonts w:ascii="Garamond" w:hAnsi="Garamond"/>
          <w:kern w:val="20"/>
          <w:sz w:val="20"/>
        </w:rPr>
        <w:t>(Provided at No Additional Charge)</w:t>
      </w:r>
    </w:p>
    <w:p w:rsidR="00E92373" w:rsidRPr="008516CC" w:rsidRDefault="007E6590" w:rsidP="0057012D">
      <w:pPr>
        <w:numPr>
          <w:ilvl w:val="0"/>
          <w:numId w:val="19"/>
        </w:numPr>
        <w:spacing w:line="204" w:lineRule="auto"/>
        <w:outlineLvl w:val="0"/>
        <w:rPr>
          <w:rFonts w:ascii="Garamond" w:hAnsi="Garamond"/>
          <w:w w:val="95"/>
          <w:kern w:val="20"/>
          <w:sz w:val="20"/>
        </w:rPr>
      </w:pPr>
      <w:r w:rsidRPr="008516CC">
        <w:rPr>
          <w:rFonts w:ascii="Garamond" w:hAnsi="Garamond"/>
          <w:b/>
          <w:w w:val="90"/>
          <w:kern w:val="20"/>
          <w:sz w:val="20"/>
        </w:rPr>
        <w:t xml:space="preserve">Employment Law Helpline: </w:t>
      </w:r>
      <w:r w:rsidR="00E92373" w:rsidRPr="008516CC">
        <w:rPr>
          <w:rFonts w:ascii="Garamond" w:hAnsi="Garamond"/>
          <w:i/>
          <w:w w:val="90"/>
          <w:kern w:val="20"/>
          <w:sz w:val="20"/>
          <w:u w:val="single"/>
        </w:rPr>
        <w:t xml:space="preserve">Unlimited </w:t>
      </w:r>
      <w:r w:rsidRPr="008516CC">
        <w:rPr>
          <w:rFonts w:ascii="Garamond" w:hAnsi="Garamond"/>
          <w:i/>
          <w:w w:val="90"/>
          <w:kern w:val="20"/>
          <w:sz w:val="20"/>
          <w:u w:val="single"/>
        </w:rPr>
        <w:t>A</w:t>
      </w:r>
      <w:r w:rsidR="00E92373" w:rsidRPr="008516CC">
        <w:rPr>
          <w:rFonts w:ascii="Garamond" w:hAnsi="Garamond"/>
          <w:i/>
          <w:w w:val="90"/>
          <w:kern w:val="20"/>
          <w:sz w:val="20"/>
          <w:u w:val="single"/>
        </w:rPr>
        <w:t>ccess</w:t>
      </w:r>
      <w:r w:rsidR="00E92373" w:rsidRPr="008516CC">
        <w:rPr>
          <w:rFonts w:ascii="Garamond" w:hAnsi="Garamond"/>
          <w:w w:val="90"/>
          <w:kern w:val="20"/>
          <w:sz w:val="20"/>
          <w:u w:val="single"/>
        </w:rPr>
        <w:t xml:space="preserve"> to the employment attorneys</w:t>
      </w:r>
      <w:r w:rsidR="00E92373" w:rsidRPr="008516CC">
        <w:rPr>
          <w:rFonts w:ascii="Garamond" w:hAnsi="Garamond"/>
          <w:w w:val="90"/>
          <w:kern w:val="20"/>
          <w:sz w:val="20"/>
        </w:rPr>
        <w:t xml:space="preserve"> of the law firm Burke, Warren, MacKay &amp; Serritella </w:t>
      </w:r>
      <w:r w:rsidR="00E92373" w:rsidRPr="008516CC">
        <w:rPr>
          <w:rFonts w:ascii="Garamond" w:hAnsi="Garamond"/>
          <w:w w:val="95"/>
          <w:kern w:val="20"/>
          <w:sz w:val="20"/>
        </w:rPr>
        <w:t xml:space="preserve">for employment-related questions. The firm </w:t>
      </w:r>
      <w:r w:rsidRPr="008516CC">
        <w:rPr>
          <w:rFonts w:ascii="Garamond" w:hAnsi="Garamond"/>
          <w:w w:val="95"/>
          <w:kern w:val="20"/>
          <w:sz w:val="20"/>
        </w:rPr>
        <w:t>will</w:t>
      </w:r>
      <w:r w:rsidR="00E92373" w:rsidRPr="008516CC">
        <w:rPr>
          <w:rFonts w:ascii="Garamond" w:hAnsi="Garamond"/>
          <w:w w:val="95"/>
          <w:kern w:val="20"/>
          <w:sz w:val="20"/>
        </w:rPr>
        <w:t xml:space="preserve"> also assist with </w:t>
      </w:r>
      <w:r w:rsidR="00E92373" w:rsidRPr="008516CC">
        <w:rPr>
          <w:rFonts w:ascii="Garamond" w:hAnsi="Garamond"/>
          <w:w w:val="95"/>
          <w:kern w:val="20"/>
          <w:sz w:val="20"/>
          <w:u w:val="single"/>
        </w:rPr>
        <w:t>employee handbooks</w:t>
      </w:r>
      <w:r w:rsidR="00E92373" w:rsidRPr="008516CC">
        <w:rPr>
          <w:rFonts w:ascii="Garamond" w:hAnsi="Garamond"/>
          <w:w w:val="95"/>
          <w:kern w:val="20"/>
          <w:sz w:val="20"/>
        </w:rPr>
        <w:t xml:space="preserve"> </w:t>
      </w:r>
      <w:r w:rsidRPr="008516CC">
        <w:rPr>
          <w:rFonts w:ascii="Garamond" w:hAnsi="Garamond"/>
          <w:w w:val="95"/>
          <w:kern w:val="20"/>
          <w:sz w:val="20"/>
        </w:rPr>
        <w:t>and</w:t>
      </w:r>
      <w:r w:rsidR="00E92373" w:rsidRPr="008516CC">
        <w:rPr>
          <w:rFonts w:ascii="Garamond" w:hAnsi="Garamond"/>
          <w:w w:val="95"/>
          <w:kern w:val="20"/>
          <w:sz w:val="20"/>
        </w:rPr>
        <w:t xml:space="preserve"> other human resources documents.</w:t>
      </w:r>
    </w:p>
    <w:p w:rsidR="007E6590" w:rsidRPr="0057012D" w:rsidRDefault="007E6590" w:rsidP="0057012D">
      <w:pPr>
        <w:numPr>
          <w:ilvl w:val="0"/>
          <w:numId w:val="19"/>
        </w:numPr>
        <w:spacing w:line="204" w:lineRule="auto"/>
        <w:outlineLvl w:val="0"/>
        <w:rPr>
          <w:rFonts w:ascii="Garamond" w:hAnsi="Garamond"/>
          <w:kern w:val="20"/>
          <w:sz w:val="20"/>
        </w:rPr>
      </w:pPr>
      <w:r w:rsidRPr="00537657">
        <w:rPr>
          <w:rFonts w:ascii="Garamond" w:hAnsi="Garamond"/>
          <w:b/>
          <w:bCs/>
          <w:kern w:val="20"/>
          <w:sz w:val="20"/>
        </w:rPr>
        <w:t>Comprehensive Criminal background checks</w:t>
      </w:r>
      <w:r w:rsidRPr="00537657">
        <w:rPr>
          <w:rFonts w:ascii="Garamond" w:hAnsi="Garamond"/>
          <w:bCs/>
          <w:kern w:val="20"/>
          <w:sz w:val="20"/>
        </w:rPr>
        <w:t>:</w:t>
      </w:r>
      <w:r w:rsidRPr="0057012D">
        <w:rPr>
          <w:rFonts w:ascii="Garamond" w:hAnsi="Garamond"/>
          <w:b/>
          <w:bCs/>
          <w:kern w:val="20"/>
          <w:sz w:val="20"/>
        </w:rPr>
        <w:t xml:space="preserve"> </w:t>
      </w:r>
      <w:r w:rsidRPr="0057012D">
        <w:rPr>
          <w:rFonts w:ascii="Garamond" w:hAnsi="Garamond"/>
          <w:kern w:val="20"/>
          <w:sz w:val="20"/>
        </w:rPr>
        <w:t xml:space="preserve">Criminal background checks for </w:t>
      </w:r>
      <w:r w:rsidRPr="0057012D">
        <w:rPr>
          <w:rFonts w:ascii="Garamond" w:hAnsi="Garamond"/>
          <w:kern w:val="20"/>
          <w:sz w:val="20"/>
          <w:u w:val="single"/>
        </w:rPr>
        <w:t>newly hired or promoted supervisors or managers</w:t>
      </w:r>
      <w:r w:rsidRPr="0057012D">
        <w:rPr>
          <w:rFonts w:ascii="Garamond" w:hAnsi="Garamond"/>
          <w:kern w:val="20"/>
          <w:sz w:val="20"/>
        </w:rPr>
        <w:t xml:space="preserve"> conducted by certified experts will reduce </w:t>
      </w:r>
      <w:r w:rsidR="003D55B1" w:rsidRPr="0057012D">
        <w:rPr>
          <w:rFonts w:ascii="Garamond" w:hAnsi="Garamond"/>
          <w:kern w:val="20"/>
          <w:sz w:val="20"/>
        </w:rPr>
        <w:t xml:space="preserve">the </w:t>
      </w:r>
      <w:r w:rsidRPr="0057012D">
        <w:rPr>
          <w:rFonts w:ascii="Garamond" w:hAnsi="Garamond"/>
          <w:kern w:val="20"/>
          <w:sz w:val="20"/>
        </w:rPr>
        <w:t xml:space="preserve">risk of hiring </w:t>
      </w:r>
      <w:r w:rsidR="003D55B1" w:rsidRPr="0057012D">
        <w:rPr>
          <w:rFonts w:ascii="Garamond" w:hAnsi="Garamond"/>
          <w:kern w:val="20"/>
          <w:sz w:val="20"/>
        </w:rPr>
        <w:t>problematic</w:t>
      </w:r>
      <w:r w:rsidRPr="0057012D">
        <w:rPr>
          <w:rFonts w:ascii="Garamond" w:hAnsi="Garamond"/>
          <w:kern w:val="20"/>
          <w:sz w:val="20"/>
        </w:rPr>
        <w:t xml:space="preserve"> employees. Policyholders </w:t>
      </w:r>
      <w:r w:rsidR="007860CA" w:rsidRPr="0057012D">
        <w:rPr>
          <w:rFonts w:ascii="Garamond" w:hAnsi="Garamond"/>
          <w:kern w:val="20"/>
          <w:sz w:val="20"/>
        </w:rPr>
        <w:t>r</w:t>
      </w:r>
      <w:r w:rsidRPr="0057012D">
        <w:rPr>
          <w:rFonts w:ascii="Garamond" w:hAnsi="Garamond"/>
          <w:kern w:val="20"/>
          <w:sz w:val="20"/>
        </w:rPr>
        <w:t xml:space="preserve">eceive </w:t>
      </w:r>
      <w:r w:rsidR="007860CA" w:rsidRPr="0057012D">
        <w:rPr>
          <w:rFonts w:ascii="Garamond" w:hAnsi="Garamond"/>
          <w:kern w:val="20"/>
          <w:sz w:val="20"/>
        </w:rPr>
        <w:t>r</w:t>
      </w:r>
      <w:r w:rsidRPr="0057012D">
        <w:rPr>
          <w:rFonts w:ascii="Garamond" w:hAnsi="Garamond"/>
          <w:kern w:val="20"/>
          <w:sz w:val="20"/>
        </w:rPr>
        <w:t xml:space="preserve">educed </w:t>
      </w:r>
      <w:r w:rsidR="007860CA" w:rsidRPr="0057012D">
        <w:rPr>
          <w:rFonts w:ascii="Garamond" w:hAnsi="Garamond"/>
          <w:kern w:val="20"/>
          <w:sz w:val="20"/>
        </w:rPr>
        <w:t>p</w:t>
      </w:r>
      <w:r w:rsidRPr="0057012D">
        <w:rPr>
          <w:rFonts w:ascii="Garamond" w:hAnsi="Garamond"/>
          <w:kern w:val="20"/>
          <w:sz w:val="20"/>
        </w:rPr>
        <w:t xml:space="preserve">ricing for </w:t>
      </w:r>
      <w:r w:rsidR="007860CA" w:rsidRPr="0057012D">
        <w:rPr>
          <w:rFonts w:ascii="Garamond" w:hAnsi="Garamond"/>
          <w:kern w:val="20"/>
          <w:sz w:val="20"/>
        </w:rPr>
        <w:t>a</w:t>
      </w:r>
      <w:r w:rsidRPr="0057012D">
        <w:rPr>
          <w:rFonts w:ascii="Garamond" w:hAnsi="Garamond"/>
          <w:kern w:val="20"/>
          <w:sz w:val="20"/>
        </w:rPr>
        <w:t xml:space="preserve">dditional </w:t>
      </w:r>
      <w:r w:rsidR="007860CA" w:rsidRPr="0057012D">
        <w:rPr>
          <w:rFonts w:ascii="Garamond" w:hAnsi="Garamond"/>
          <w:kern w:val="20"/>
          <w:sz w:val="20"/>
        </w:rPr>
        <w:t>b</w:t>
      </w:r>
      <w:r w:rsidRPr="0057012D">
        <w:rPr>
          <w:rFonts w:ascii="Garamond" w:hAnsi="Garamond"/>
          <w:kern w:val="20"/>
          <w:sz w:val="20"/>
        </w:rPr>
        <w:t xml:space="preserve">ackground </w:t>
      </w:r>
      <w:r w:rsidR="007860CA" w:rsidRPr="0057012D">
        <w:rPr>
          <w:rFonts w:ascii="Garamond" w:hAnsi="Garamond"/>
          <w:kern w:val="20"/>
          <w:sz w:val="20"/>
        </w:rPr>
        <w:t>c</w:t>
      </w:r>
      <w:r w:rsidRPr="0057012D">
        <w:rPr>
          <w:rFonts w:ascii="Garamond" w:hAnsi="Garamond"/>
          <w:kern w:val="20"/>
          <w:sz w:val="20"/>
        </w:rPr>
        <w:t>hecks.</w:t>
      </w:r>
    </w:p>
    <w:p w:rsidR="007E6590" w:rsidRPr="008516CC" w:rsidRDefault="007E6590" w:rsidP="0057012D">
      <w:pPr>
        <w:pStyle w:val="ListParagraph"/>
        <w:numPr>
          <w:ilvl w:val="0"/>
          <w:numId w:val="19"/>
        </w:numPr>
        <w:spacing w:line="204" w:lineRule="auto"/>
        <w:contextualSpacing/>
        <w:rPr>
          <w:rFonts w:ascii="Garamond" w:hAnsi="Garamond" w:cs="Arial"/>
          <w:w w:val="95"/>
          <w:kern w:val="20"/>
          <w:sz w:val="20"/>
        </w:rPr>
      </w:pPr>
      <w:r w:rsidRPr="008516CC">
        <w:rPr>
          <w:rFonts w:ascii="Garamond" w:hAnsi="Garamond" w:cs="Arial"/>
          <w:b/>
          <w:w w:val="95"/>
          <w:kern w:val="20"/>
          <w:sz w:val="20"/>
        </w:rPr>
        <w:t>Comply America’s internet-based training courses</w:t>
      </w:r>
      <w:r w:rsidR="00B220F6">
        <w:rPr>
          <w:rFonts w:ascii="Garamond" w:hAnsi="Garamond" w:cs="Arial"/>
          <w:b/>
          <w:w w:val="95"/>
          <w:kern w:val="20"/>
          <w:sz w:val="20"/>
        </w:rPr>
        <w:t xml:space="preserve"> </w:t>
      </w:r>
      <w:r w:rsidR="00B220F6">
        <w:rPr>
          <w:rFonts w:ascii="Garamond" w:hAnsi="Garamond" w:cs="Arial"/>
          <w:color w:val="1F497D"/>
          <w:w w:val="95"/>
          <w:kern w:val="20"/>
          <w:sz w:val="20"/>
        </w:rPr>
        <w:t>(</w:t>
      </w:r>
      <w:r w:rsidRPr="008516CC">
        <w:rPr>
          <w:rFonts w:ascii="Garamond" w:hAnsi="Garamond" w:cs="Arial"/>
          <w:color w:val="1F497D"/>
          <w:w w:val="95"/>
          <w:kern w:val="20"/>
          <w:sz w:val="20"/>
        </w:rPr>
        <w:t>both now available in Spanish and English</w:t>
      </w:r>
      <w:r w:rsidR="00B220F6">
        <w:rPr>
          <w:rFonts w:ascii="Garamond" w:hAnsi="Garamond" w:cs="Arial"/>
          <w:w w:val="95"/>
          <w:kern w:val="20"/>
          <w:sz w:val="20"/>
        </w:rPr>
        <w:t>)</w:t>
      </w:r>
      <w:r w:rsidR="00B220F6">
        <w:rPr>
          <w:rFonts w:ascii="Garamond" w:hAnsi="Garamond"/>
          <w:kern w:val="20"/>
          <w:sz w:val="20"/>
        </w:rPr>
        <w:t>:</w:t>
      </w:r>
      <w:r w:rsidRPr="008516CC">
        <w:rPr>
          <w:rFonts w:ascii="Garamond" w:hAnsi="Garamond" w:cs="Arial"/>
          <w:w w:val="95"/>
          <w:kern w:val="20"/>
          <w:sz w:val="20"/>
        </w:rPr>
        <w:t xml:space="preserve"> The courses have been </w:t>
      </w:r>
      <w:r w:rsidR="009201F0" w:rsidRPr="008516CC">
        <w:rPr>
          <w:rFonts w:ascii="Garamond" w:hAnsi="Garamond" w:cs="Arial"/>
          <w:w w:val="95"/>
          <w:kern w:val="20"/>
          <w:sz w:val="20"/>
        </w:rPr>
        <w:t>a</w:t>
      </w:r>
      <w:r w:rsidRPr="008516CC">
        <w:rPr>
          <w:rFonts w:ascii="Garamond" w:hAnsi="Garamond" w:cs="Arial"/>
          <w:w w:val="95"/>
          <w:kern w:val="20"/>
          <w:sz w:val="20"/>
        </w:rPr>
        <w:t>pproved by the Federal Courts</w:t>
      </w:r>
      <w:r w:rsidR="009201F0" w:rsidRPr="008516CC">
        <w:rPr>
          <w:rFonts w:ascii="Garamond" w:hAnsi="Garamond" w:cs="Arial"/>
          <w:w w:val="95"/>
          <w:kern w:val="20"/>
          <w:sz w:val="20"/>
        </w:rPr>
        <w:t xml:space="preserve">, </w:t>
      </w:r>
      <w:r w:rsidRPr="008516CC">
        <w:rPr>
          <w:rFonts w:ascii="Garamond" w:hAnsi="Garamond" w:cs="Arial"/>
          <w:w w:val="95"/>
          <w:kern w:val="20"/>
          <w:sz w:val="20"/>
        </w:rPr>
        <w:t xml:space="preserve">EEOC, and are compliant with California AB 1825’s sexual harassment training requirements. </w:t>
      </w:r>
    </w:p>
    <w:p w:rsidR="002E680A" w:rsidRPr="0057012D" w:rsidRDefault="00E92373" w:rsidP="0057012D">
      <w:pPr>
        <w:spacing w:before="120" w:line="204" w:lineRule="auto"/>
        <w:outlineLvl w:val="0"/>
        <w:rPr>
          <w:rFonts w:ascii="Garamond" w:hAnsi="Garamond"/>
          <w:b/>
          <w:i/>
          <w:kern w:val="20"/>
          <w:sz w:val="20"/>
        </w:rPr>
      </w:pPr>
      <w:r w:rsidRPr="0057012D">
        <w:rPr>
          <w:rFonts w:ascii="Garamond" w:hAnsi="Garamond"/>
          <w:b/>
          <w:i/>
          <w:kern w:val="20"/>
          <w:sz w:val="20"/>
        </w:rPr>
        <w:t>C</w:t>
      </w:r>
      <w:r w:rsidR="002E680A" w:rsidRPr="0057012D">
        <w:rPr>
          <w:rFonts w:ascii="Garamond" w:hAnsi="Garamond"/>
          <w:b/>
          <w:i/>
          <w:kern w:val="20"/>
          <w:sz w:val="20"/>
        </w:rPr>
        <w:t>overage Highlights:</w:t>
      </w:r>
    </w:p>
    <w:p w:rsidR="000D62E8" w:rsidRPr="008516CC" w:rsidRDefault="000D62E8" w:rsidP="0057012D">
      <w:pPr>
        <w:numPr>
          <w:ilvl w:val="0"/>
          <w:numId w:val="8"/>
        </w:numPr>
        <w:spacing w:line="204" w:lineRule="auto"/>
        <w:rPr>
          <w:rFonts w:ascii="Garamond" w:hAnsi="Garamond"/>
          <w:w w:val="95"/>
          <w:kern w:val="20"/>
          <w:sz w:val="20"/>
        </w:rPr>
      </w:pPr>
      <w:r w:rsidRPr="008516CC">
        <w:rPr>
          <w:rFonts w:ascii="Garamond" w:hAnsi="Garamond"/>
          <w:w w:val="95"/>
          <w:kern w:val="20"/>
          <w:sz w:val="20"/>
        </w:rPr>
        <w:t>Employment Practices Liability Coverage</w:t>
      </w:r>
      <w:r w:rsidR="00D9142D">
        <w:rPr>
          <w:rFonts w:ascii="Garamond" w:hAnsi="Garamond"/>
          <w:w w:val="95"/>
          <w:kern w:val="20"/>
          <w:sz w:val="20"/>
        </w:rPr>
        <w:t xml:space="preserve"> provides</w:t>
      </w:r>
      <w:r w:rsidRPr="008516CC">
        <w:rPr>
          <w:rFonts w:ascii="Garamond" w:hAnsi="Garamond"/>
          <w:w w:val="95"/>
          <w:kern w:val="20"/>
          <w:sz w:val="20"/>
        </w:rPr>
        <w:t xml:space="preserve"> the </w:t>
      </w:r>
      <w:r w:rsidR="00D9142D">
        <w:rPr>
          <w:rFonts w:ascii="Garamond" w:hAnsi="Garamond"/>
          <w:w w:val="95"/>
          <w:kern w:val="20"/>
          <w:sz w:val="20"/>
        </w:rPr>
        <w:t>b</w:t>
      </w:r>
      <w:r w:rsidRPr="008516CC">
        <w:rPr>
          <w:rFonts w:ascii="Garamond" w:hAnsi="Garamond"/>
          <w:w w:val="95"/>
          <w:kern w:val="20"/>
          <w:sz w:val="20"/>
        </w:rPr>
        <w:t xml:space="preserve">roadest </w:t>
      </w:r>
      <w:r w:rsidR="00D9142D">
        <w:rPr>
          <w:rFonts w:ascii="Garamond" w:hAnsi="Garamond"/>
          <w:w w:val="95"/>
          <w:kern w:val="20"/>
          <w:sz w:val="20"/>
        </w:rPr>
        <w:t>a</w:t>
      </w:r>
      <w:r w:rsidRPr="008516CC">
        <w:rPr>
          <w:rFonts w:ascii="Garamond" w:hAnsi="Garamond"/>
          <w:w w:val="95"/>
          <w:kern w:val="20"/>
          <w:sz w:val="20"/>
        </w:rPr>
        <w:t xml:space="preserve">rray of </w:t>
      </w:r>
      <w:r w:rsidR="00D9142D">
        <w:rPr>
          <w:rFonts w:ascii="Garamond" w:hAnsi="Garamond"/>
          <w:w w:val="95"/>
          <w:kern w:val="20"/>
          <w:sz w:val="20"/>
        </w:rPr>
        <w:t>c</w:t>
      </w:r>
      <w:r w:rsidRPr="008516CC">
        <w:rPr>
          <w:rFonts w:ascii="Garamond" w:hAnsi="Garamond"/>
          <w:w w:val="95"/>
          <w:kern w:val="20"/>
          <w:sz w:val="20"/>
        </w:rPr>
        <w:t xml:space="preserve">overed </w:t>
      </w:r>
      <w:r w:rsidR="00D9142D">
        <w:rPr>
          <w:rFonts w:ascii="Garamond" w:hAnsi="Garamond"/>
          <w:w w:val="95"/>
          <w:kern w:val="20"/>
          <w:sz w:val="20"/>
        </w:rPr>
        <w:t>l</w:t>
      </w:r>
      <w:r w:rsidRPr="008516CC">
        <w:rPr>
          <w:rFonts w:ascii="Garamond" w:hAnsi="Garamond"/>
          <w:w w:val="95"/>
          <w:kern w:val="20"/>
          <w:sz w:val="20"/>
        </w:rPr>
        <w:t>iabilities</w:t>
      </w:r>
      <w:r w:rsidR="00D9142D">
        <w:rPr>
          <w:rFonts w:ascii="Garamond" w:hAnsi="Garamond"/>
          <w:w w:val="95"/>
          <w:kern w:val="20"/>
          <w:sz w:val="20"/>
        </w:rPr>
        <w:t>--including v</w:t>
      </w:r>
      <w:r w:rsidRPr="008516CC">
        <w:rPr>
          <w:rFonts w:ascii="Garamond" w:hAnsi="Garamond"/>
          <w:w w:val="95"/>
          <w:kern w:val="20"/>
          <w:sz w:val="20"/>
        </w:rPr>
        <w:t>iolation of any</w:t>
      </w:r>
      <w:r w:rsidR="00D9142D">
        <w:rPr>
          <w:rFonts w:ascii="Garamond" w:hAnsi="Garamond"/>
          <w:w w:val="95"/>
          <w:kern w:val="20"/>
          <w:sz w:val="20"/>
        </w:rPr>
        <w:t xml:space="preserve"> federal, state or common law, as well as common law violations p</w:t>
      </w:r>
      <w:r w:rsidRPr="008516CC">
        <w:rPr>
          <w:rFonts w:ascii="Garamond" w:hAnsi="Garamond"/>
          <w:w w:val="95"/>
          <w:kern w:val="20"/>
          <w:sz w:val="20"/>
        </w:rPr>
        <w:t xml:space="preserve">ertaining to </w:t>
      </w:r>
      <w:r w:rsidR="00D9142D">
        <w:rPr>
          <w:rFonts w:ascii="Garamond" w:hAnsi="Garamond"/>
          <w:w w:val="95"/>
          <w:kern w:val="20"/>
          <w:sz w:val="20"/>
        </w:rPr>
        <w:t>a</w:t>
      </w:r>
      <w:r w:rsidRPr="008516CC">
        <w:rPr>
          <w:rFonts w:ascii="Garamond" w:hAnsi="Garamond"/>
          <w:w w:val="95"/>
          <w:kern w:val="20"/>
          <w:sz w:val="20"/>
        </w:rPr>
        <w:t xml:space="preserve">ny </w:t>
      </w:r>
      <w:r w:rsidR="00D9142D">
        <w:rPr>
          <w:rFonts w:ascii="Garamond" w:hAnsi="Garamond"/>
          <w:w w:val="95"/>
          <w:kern w:val="20"/>
          <w:sz w:val="20"/>
        </w:rPr>
        <w:t>kind of d</w:t>
      </w:r>
      <w:r w:rsidRPr="008516CC">
        <w:rPr>
          <w:rFonts w:ascii="Garamond" w:hAnsi="Garamond"/>
          <w:w w:val="95"/>
          <w:kern w:val="20"/>
          <w:sz w:val="20"/>
        </w:rPr>
        <w:t>iscrimina</w:t>
      </w:r>
      <w:r w:rsidR="00D9142D">
        <w:rPr>
          <w:rFonts w:ascii="Garamond" w:hAnsi="Garamond"/>
          <w:w w:val="95"/>
          <w:kern w:val="20"/>
          <w:sz w:val="20"/>
        </w:rPr>
        <w:t>tion or h</w:t>
      </w:r>
      <w:r w:rsidRPr="008516CC">
        <w:rPr>
          <w:rFonts w:ascii="Garamond" w:hAnsi="Garamond"/>
          <w:w w:val="95"/>
          <w:kern w:val="20"/>
          <w:sz w:val="20"/>
        </w:rPr>
        <w:t>arassment</w:t>
      </w:r>
      <w:r w:rsidR="0057012D" w:rsidRPr="008516CC">
        <w:rPr>
          <w:rFonts w:ascii="Garamond" w:hAnsi="Garamond"/>
          <w:w w:val="95"/>
          <w:kern w:val="20"/>
          <w:sz w:val="20"/>
        </w:rPr>
        <w:t>.</w:t>
      </w:r>
    </w:p>
    <w:p w:rsidR="00294F5C" w:rsidRPr="008516CC" w:rsidRDefault="00294F5C" w:rsidP="0057012D">
      <w:pPr>
        <w:numPr>
          <w:ilvl w:val="0"/>
          <w:numId w:val="8"/>
        </w:numPr>
        <w:autoSpaceDE w:val="0"/>
        <w:autoSpaceDN w:val="0"/>
        <w:adjustRightInd w:val="0"/>
        <w:spacing w:line="204" w:lineRule="auto"/>
        <w:rPr>
          <w:rFonts w:ascii="Garamond" w:hAnsi="Garamond" w:cs="Arial"/>
          <w:kern w:val="20"/>
          <w:sz w:val="20"/>
        </w:rPr>
      </w:pPr>
      <w:r w:rsidRPr="008516CC">
        <w:rPr>
          <w:rFonts w:ascii="Garamond" w:hAnsi="Garamond" w:cs="Arial"/>
          <w:bCs/>
          <w:kern w:val="20"/>
          <w:sz w:val="20"/>
        </w:rPr>
        <w:t>Director &amp; Officer's Liability and Fiduciary Liability Coverage</w:t>
      </w:r>
      <w:r w:rsidR="00BB211E" w:rsidRPr="008516CC">
        <w:rPr>
          <w:rFonts w:ascii="Garamond" w:hAnsi="Garamond" w:cs="Arial"/>
          <w:bCs/>
          <w:kern w:val="20"/>
          <w:sz w:val="20"/>
        </w:rPr>
        <w:t xml:space="preserve"> </w:t>
      </w:r>
      <w:r w:rsidR="00D9142D">
        <w:rPr>
          <w:rFonts w:ascii="Garamond" w:hAnsi="Garamond" w:cs="Arial"/>
          <w:bCs/>
          <w:kern w:val="20"/>
          <w:sz w:val="20"/>
        </w:rPr>
        <w:t xml:space="preserve">provides </w:t>
      </w:r>
      <w:r w:rsidR="00BB211E" w:rsidRPr="008516CC">
        <w:rPr>
          <w:rFonts w:ascii="Garamond" w:hAnsi="Garamond" w:cs="Arial"/>
          <w:bCs/>
          <w:kern w:val="20"/>
          <w:sz w:val="20"/>
        </w:rPr>
        <w:t>protection for alleged wrongful acts by directors and officers</w:t>
      </w:r>
      <w:r w:rsidR="00D9142D">
        <w:rPr>
          <w:rFonts w:ascii="Garamond" w:hAnsi="Garamond" w:cs="Arial"/>
          <w:bCs/>
          <w:kern w:val="20"/>
          <w:sz w:val="20"/>
        </w:rPr>
        <w:t xml:space="preserve">--including </w:t>
      </w:r>
      <w:r w:rsidR="00BB211E" w:rsidRPr="008516CC">
        <w:rPr>
          <w:rFonts w:ascii="Garamond" w:hAnsi="Garamond" w:cs="Arial"/>
          <w:bCs/>
          <w:kern w:val="20"/>
          <w:sz w:val="20"/>
        </w:rPr>
        <w:t>fiduciary wrongful acts</w:t>
      </w:r>
      <w:r w:rsidR="00537657">
        <w:rPr>
          <w:rFonts w:ascii="Garamond" w:hAnsi="Garamond" w:cs="Arial"/>
          <w:bCs/>
          <w:kern w:val="20"/>
          <w:sz w:val="20"/>
        </w:rPr>
        <w:t xml:space="preserve"> e.g. </w:t>
      </w:r>
      <w:r w:rsidR="00BB211E" w:rsidRPr="008516CC">
        <w:rPr>
          <w:rFonts w:ascii="Garamond" w:hAnsi="Garamond" w:cs="Arial"/>
          <w:bCs/>
          <w:kern w:val="20"/>
          <w:sz w:val="20"/>
        </w:rPr>
        <w:t xml:space="preserve">those administering employee benefits. </w:t>
      </w:r>
      <w:r w:rsidR="00BB211E" w:rsidRPr="008516CC">
        <w:rPr>
          <w:rFonts w:ascii="Garamond" w:hAnsi="Garamond" w:cs="Arial"/>
          <w:kern w:val="20"/>
          <w:sz w:val="20"/>
        </w:rPr>
        <w:t xml:space="preserve">  </w:t>
      </w:r>
      <w:r w:rsidRPr="008516CC">
        <w:rPr>
          <w:rFonts w:ascii="Garamond" w:hAnsi="Garamond" w:cs="Arial"/>
          <w:kern w:val="20"/>
          <w:sz w:val="20"/>
        </w:rPr>
        <w:t xml:space="preserve"> </w:t>
      </w:r>
    </w:p>
    <w:p w:rsidR="000D62E8" w:rsidRPr="008516CC" w:rsidRDefault="000D62E8" w:rsidP="0057012D">
      <w:pPr>
        <w:numPr>
          <w:ilvl w:val="0"/>
          <w:numId w:val="8"/>
        </w:numPr>
        <w:autoSpaceDE w:val="0"/>
        <w:autoSpaceDN w:val="0"/>
        <w:adjustRightInd w:val="0"/>
        <w:spacing w:line="204" w:lineRule="auto"/>
        <w:rPr>
          <w:rFonts w:ascii="Garamond" w:hAnsi="Garamond"/>
          <w:kern w:val="20"/>
          <w:sz w:val="20"/>
        </w:rPr>
      </w:pPr>
      <w:r w:rsidRPr="008516CC">
        <w:rPr>
          <w:rFonts w:ascii="Garamond" w:hAnsi="Garamond" w:cs="Arial"/>
          <w:bCs/>
          <w:kern w:val="20"/>
          <w:sz w:val="20"/>
        </w:rPr>
        <w:t xml:space="preserve">Immigration Coverage </w:t>
      </w:r>
      <w:r w:rsidRPr="008516CC">
        <w:rPr>
          <w:rFonts w:ascii="Garamond" w:hAnsi="Garamond" w:cs="Arial"/>
          <w:kern w:val="20"/>
          <w:sz w:val="20"/>
        </w:rPr>
        <w:t>provides defense for alleged violations of Immigration Reform Control Act of 1986 (IRCA) and or any other similar federal, state or local laws or related immigration practices regulations</w:t>
      </w:r>
      <w:r w:rsidR="00C11748" w:rsidRPr="008516CC">
        <w:rPr>
          <w:rFonts w:ascii="Garamond" w:hAnsi="Garamond" w:cs="Arial"/>
          <w:kern w:val="20"/>
          <w:sz w:val="20"/>
        </w:rPr>
        <w:t>.</w:t>
      </w:r>
    </w:p>
    <w:p w:rsidR="00CC0607" w:rsidRPr="0057012D" w:rsidRDefault="00CC0607" w:rsidP="0057012D">
      <w:pPr>
        <w:numPr>
          <w:ilvl w:val="0"/>
          <w:numId w:val="8"/>
        </w:numPr>
        <w:spacing w:line="204" w:lineRule="auto"/>
        <w:rPr>
          <w:rFonts w:ascii="Garamond" w:hAnsi="Garamond"/>
          <w:kern w:val="20"/>
          <w:sz w:val="20"/>
        </w:rPr>
      </w:pPr>
      <w:r w:rsidRPr="008516CC">
        <w:rPr>
          <w:rFonts w:ascii="Garamond" w:hAnsi="Garamond"/>
          <w:kern w:val="20"/>
          <w:sz w:val="20"/>
        </w:rPr>
        <w:t xml:space="preserve">Wage and Hour Defense Cost Coverage </w:t>
      </w:r>
      <w:r w:rsidR="00D9142D">
        <w:rPr>
          <w:rFonts w:ascii="Garamond" w:hAnsi="Garamond"/>
          <w:kern w:val="20"/>
          <w:sz w:val="20"/>
        </w:rPr>
        <w:t>includes</w:t>
      </w:r>
      <w:r w:rsidRPr="0057012D">
        <w:rPr>
          <w:rFonts w:ascii="Garamond" w:hAnsi="Garamond"/>
          <w:kern w:val="20"/>
          <w:sz w:val="20"/>
        </w:rPr>
        <w:t xml:space="preserve"> any claim alleging violation of federal, state, or local wage and hour laws or regulations.  </w:t>
      </w:r>
    </w:p>
    <w:p w:rsidR="00E45D0E" w:rsidRPr="008516CC" w:rsidRDefault="00235FD4" w:rsidP="008516CC">
      <w:pPr>
        <w:numPr>
          <w:ilvl w:val="0"/>
          <w:numId w:val="27"/>
        </w:numPr>
        <w:spacing w:line="204" w:lineRule="auto"/>
        <w:rPr>
          <w:rFonts w:ascii="Garamond" w:hAnsi="Garamond"/>
          <w:kern w:val="20"/>
          <w:sz w:val="20"/>
        </w:rPr>
      </w:pPr>
      <w:r w:rsidRPr="008516CC">
        <w:rPr>
          <w:rFonts w:ascii="Garamond" w:hAnsi="Garamond"/>
          <w:kern w:val="20"/>
          <w:sz w:val="20"/>
        </w:rPr>
        <w:t>B</w:t>
      </w:r>
      <w:r w:rsidR="00E45D0E" w:rsidRPr="008516CC">
        <w:rPr>
          <w:rFonts w:ascii="Garamond" w:hAnsi="Garamond"/>
          <w:kern w:val="20"/>
          <w:sz w:val="20"/>
        </w:rPr>
        <w:t xml:space="preserve">road </w:t>
      </w:r>
      <w:r w:rsidR="00B220F6">
        <w:rPr>
          <w:rFonts w:ascii="Garamond" w:hAnsi="Garamond"/>
          <w:kern w:val="20"/>
          <w:sz w:val="20"/>
        </w:rPr>
        <w:t>E</w:t>
      </w:r>
      <w:r w:rsidR="00D9142D">
        <w:rPr>
          <w:rFonts w:ascii="Garamond" w:hAnsi="Garamond"/>
          <w:kern w:val="20"/>
          <w:sz w:val="20"/>
        </w:rPr>
        <w:t xml:space="preserve">mployee </w:t>
      </w:r>
      <w:r w:rsidR="00B220F6">
        <w:rPr>
          <w:rFonts w:ascii="Garamond" w:hAnsi="Garamond"/>
          <w:kern w:val="20"/>
          <w:sz w:val="20"/>
        </w:rPr>
        <w:t>C</w:t>
      </w:r>
      <w:r w:rsidR="00D9142D">
        <w:rPr>
          <w:rFonts w:ascii="Garamond" w:hAnsi="Garamond"/>
          <w:kern w:val="20"/>
          <w:sz w:val="20"/>
        </w:rPr>
        <w:t xml:space="preserve">laim </w:t>
      </w:r>
      <w:r w:rsidR="00B220F6">
        <w:rPr>
          <w:rFonts w:ascii="Garamond" w:hAnsi="Garamond"/>
          <w:kern w:val="20"/>
          <w:sz w:val="20"/>
        </w:rPr>
        <w:t>C</w:t>
      </w:r>
      <w:r w:rsidR="00D9142D">
        <w:rPr>
          <w:rFonts w:ascii="Garamond" w:hAnsi="Garamond"/>
          <w:kern w:val="20"/>
          <w:sz w:val="20"/>
        </w:rPr>
        <w:t>overage includes</w:t>
      </w:r>
      <w:r w:rsidR="00E45D0E" w:rsidRPr="008516CC">
        <w:rPr>
          <w:rFonts w:ascii="Garamond" w:hAnsi="Garamond"/>
          <w:kern w:val="20"/>
          <w:sz w:val="20"/>
        </w:rPr>
        <w:t xml:space="preserve"> full-time, part-time, seasonal, temporary and even claims by leased workers and independent contractors are covered</w:t>
      </w:r>
      <w:r w:rsidR="00C11748" w:rsidRPr="008516CC">
        <w:rPr>
          <w:rFonts w:ascii="Garamond" w:hAnsi="Garamond"/>
          <w:kern w:val="20"/>
          <w:sz w:val="20"/>
        </w:rPr>
        <w:t>.</w:t>
      </w:r>
    </w:p>
    <w:p w:rsidR="00E45D0E" w:rsidRPr="0057012D" w:rsidRDefault="00E45D0E" w:rsidP="008516CC">
      <w:pPr>
        <w:numPr>
          <w:ilvl w:val="0"/>
          <w:numId w:val="27"/>
        </w:numPr>
        <w:spacing w:line="204" w:lineRule="auto"/>
        <w:rPr>
          <w:rFonts w:ascii="Garamond" w:hAnsi="Garamond"/>
          <w:kern w:val="20"/>
          <w:sz w:val="20"/>
        </w:rPr>
      </w:pPr>
      <w:r w:rsidRPr="0057012D">
        <w:rPr>
          <w:rFonts w:ascii="Garamond" w:hAnsi="Garamond"/>
          <w:kern w:val="20"/>
          <w:sz w:val="20"/>
        </w:rPr>
        <w:t xml:space="preserve">Wrongful </w:t>
      </w:r>
      <w:r w:rsidR="00B220F6">
        <w:rPr>
          <w:rFonts w:ascii="Garamond" w:hAnsi="Garamond"/>
          <w:kern w:val="20"/>
          <w:sz w:val="20"/>
        </w:rPr>
        <w:t>T</w:t>
      </w:r>
      <w:r w:rsidRPr="0057012D">
        <w:rPr>
          <w:rFonts w:ascii="Garamond" w:hAnsi="Garamond"/>
          <w:kern w:val="20"/>
          <w:sz w:val="20"/>
        </w:rPr>
        <w:t xml:space="preserve">ermination </w:t>
      </w:r>
      <w:r w:rsidR="00B220F6">
        <w:rPr>
          <w:rFonts w:ascii="Garamond" w:hAnsi="Garamond"/>
          <w:kern w:val="20"/>
          <w:sz w:val="20"/>
        </w:rPr>
        <w:t>C</w:t>
      </w:r>
      <w:r w:rsidRPr="0057012D">
        <w:rPr>
          <w:rFonts w:ascii="Garamond" w:hAnsi="Garamond"/>
          <w:kern w:val="20"/>
          <w:sz w:val="20"/>
        </w:rPr>
        <w:t>overage includes constructive discharge and breach of written employment contracts</w:t>
      </w:r>
      <w:r w:rsidR="00C11748" w:rsidRPr="0057012D">
        <w:rPr>
          <w:rFonts w:ascii="Garamond" w:hAnsi="Garamond"/>
          <w:kern w:val="20"/>
          <w:sz w:val="20"/>
        </w:rPr>
        <w:t>.</w:t>
      </w:r>
    </w:p>
    <w:p w:rsidR="00E45D0E" w:rsidRPr="0057012D" w:rsidRDefault="00E45D0E" w:rsidP="008516CC">
      <w:pPr>
        <w:numPr>
          <w:ilvl w:val="0"/>
          <w:numId w:val="27"/>
        </w:numPr>
        <w:spacing w:line="204" w:lineRule="auto"/>
        <w:rPr>
          <w:rFonts w:ascii="Garamond" w:hAnsi="Garamond"/>
          <w:kern w:val="20"/>
          <w:sz w:val="20"/>
        </w:rPr>
      </w:pPr>
      <w:r w:rsidRPr="0057012D">
        <w:rPr>
          <w:rFonts w:ascii="Garamond" w:hAnsi="Garamond"/>
          <w:kern w:val="20"/>
          <w:sz w:val="20"/>
        </w:rPr>
        <w:t xml:space="preserve">Employee-related torts are </w:t>
      </w:r>
      <w:r w:rsidR="00D9142D">
        <w:rPr>
          <w:rFonts w:ascii="Garamond" w:hAnsi="Garamond"/>
          <w:kern w:val="20"/>
          <w:sz w:val="20"/>
        </w:rPr>
        <w:t xml:space="preserve">covered </w:t>
      </w:r>
      <w:r w:rsidR="00B220F6">
        <w:rPr>
          <w:rFonts w:ascii="Garamond" w:hAnsi="Garamond"/>
          <w:kern w:val="20"/>
          <w:sz w:val="20"/>
        </w:rPr>
        <w:t>including</w:t>
      </w:r>
      <w:r w:rsidRPr="0057012D">
        <w:rPr>
          <w:rFonts w:ascii="Garamond" w:hAnsi="Garamond"/>
          <w:kern w:val="20"/>
          <w:sz w:val="20"/>
        </w:rPr>
        <w:t xml:space="preserve"> infliction of </w:t>
      </w:r>
      <w:r w:rsidR="00235FD4" w:rsidRPr="0057012D">
        <w:rPr>
          <w:rFonts w:ascii="Garamond" w:hAnsi="Garamond"/>
          <w:kern w:val="20"/>
          <w:sz w:val="20"/>
        </w:rPr>
        <w:t>emotional</w:t>
      </w:r>
      <w:r w:rsidRPr="0057012D">
        <w:rPr>
          <w:rFonts w:ascii="Garamond" w:hAnsi="Garamond"/>
          <w:kern w:val="20"/>
          <w:sz w:val="20"/>
        </w:rPr>
        <w:t xml:space="preserve"> distress, </w:t>
      </w:r>
      <w:r w:rsidR="00235FD4" w:rsidRPr="0057012D">
        <w:rPr>
          <w:rFonts w:ascii="Garamond" w:hAnsi="Garamond"/>
          <w:kern w:val="20"/>
          <w:sz w:val="20"/>
        </w:rPr>
        <w:t>defamation</w:t>
      </w:r>
      <w:r w:rsidRPr="0057012D">
        <w:rPr>
          <w:rFonts w:ascii="Garamond" w:hAnsi="Garamond"/>
          <w:kern w:val="20"/>
          <w:sz w:val="20"/>
        </w:rPr>
        <w:t xml:space="preserve">, libel, slander, disparagement, false </w:t>
      </w:r>
      <w:r w:rsidR="00235FD4" w:rsidRPr="0057012D">
        <w:rPr>
          <w:rFonts w:ascii="Garamond" w:hAnsi="Garamond"/>
          <w:kern w:val="20"/>
          <w:sz w:val="20"/>
        </w:rPr>
        <w:t>imprisonment</w:t>
      </w:r>
      <w:r w:rsidRPr="0057012D">
        <w:rPr>
          <w:rFonts w:ascii="Garamond" w:hAnsi="Garamond"/>
          <w:kern w:val="20"/>
          <w:sz w:val="20"/>
        </w:rPr>
        <w:t>, malicious prosecution and invasion of privacy</w:t>
      </w:r>
      <w:r w:rsidR="00C11748" w:rsidRPr="0057012D">
        <w:rPr>
          <w:rFonts w:ascii="Garamond" w:hAnsi="Garamond"/>
          <w:kern w:val="20"/>
          <w:sz w:val="20"/>
        </w:rPr>
        <w:t>.</w:t>
      </w:r>
      <w:r w:rsidRPr="0057012D">
        <w:rPr>
          <w:rFonts w:ascii="Garamond" w:hAnsi="Garamond"/>
          <w:kern w:val="20"/>
          <w:sz w:val="20"/>
        </w:rPr>
        <w:t xml:space="preserve">  </w:t>
      </w:r>
    </w:p>
    <w:p w:rsidR="00E45D0E" w:rsidRPr="0057012D" w:rsidRDefault="00E45D0E" w:rsidP="008516CC">
      <w:pPr>
        <w:numPr>
          <w:ilvl w:val="0"/>
          <w:numId w:val="27"/>
        </w:numPr>
        <w:spacing w:line="204" w:lineRule="auto"/>
        <w:rPr>
          <w:rFonts w:ascii="Garamond" w:hAnsi="Garamond"/>
          <w:kern w:val="20"/>
          <w:sz w:val="20"/>
        </w:rPr>
      </w:pPr>
      <w:r w:rsidRPr="0057012D">
        <w:rPr>
          <w:rFonts w:ascii="Garamond" w:hAnsi="Garamond"/>
          <w:kern w:val="20"/>
          <w:sz w:val="20"/>
        </w:rPr>
        <w:t xml:space="preserve">Claims </w:t>
      </w:r>
      <w:r w:rsidR="00235FD4" w:rsidRPr="0057012D">
        <w:rPr>
          <w:rFonts w:ascii="Garamond" w:hAnsi="Garamond"/>
          <w:kern w:val="20"/>
          <w:sz w:val="20"/>
        </w:rPr>
        <w:t>about</w:t>
      </w:r>
      <w:r w:rsidRPr="0057012D">
        <w:rPr>
          <w:rFonts w:ascii="Garamond" w:hAnsi="Garamond"/>
          <w:kern w:val="20"/>
          <w:sz w:val="20"/>
        </w:rPr>
        <w:t xml:space="preserve"> how the company handles its employment matters are covered</w:t>
      </w:r>
      <w:r w:rsidR="00D9142D">
        <w:rPr>
          <w:rFonts w:ascii="Garamond" w:hAnsi="Garamond"/>
          <w:kern w:val="20"/>
          <w:sz w:val="20"/>
        </w:rPr>
        <w:t>--and includes</w:t>
      </w:r>
      <w:r w:rsidRPr="0057012D">
        <w:rPr>
          <w:rFonts w:ascii="Garamond" w:hAnsi="Garamond"/>
          <w:kern w:val="20"/>
          <w:sz w:val="20"/>
        </w:rPr>
        <w:t xml:space="preserve"> negligent hiring or supervision of others, failure to adopt or enforce adequate workplace practices and excessive o</w:t>
      </w:r>
      <w:r w:rsidR="00C11748" w:rsidRPr="0057012D">
        <w:rPr>
          <w:rFonts w:ascii="Garamond" w:hAnsi="Garamond"/>
          <w:kern w:val="20"/>
          <w:sz w:val="20"/>
        </w:rPr>
        <w:t>r unfair discipline.</w:t>
      </w:r>
    </w:p>
    <w:p w:rsidR="00E45D0E" w:rsidRPr="0057012D" w:rsidRDefault="00E45D0E" w:rsidP="008516CC">
      <w:pPr>
        <w:numPr>
          <w:ilvl w:val="0"/>
          <w:numId w:val="27"/>
        </w:numPr>
        <w:spacing w:line="204" w:lineRule="auto"/>
        <w:rPr>
          <w:rFonts w:ascii="Garamond" w:hAnsi="Garamond"/>
          <w:kern w:val="20"/>
          <w:sz w:val="20"/>
        </w:rPr>
      </w:pPr>
      <w:r w:rsidRPr="0057012D">
        <w:rPr>
          <w:rFonts w:ascii="Garamond" w:hAnsi="Garamond"/>
          <w:kern w:val="20"/>
          <w:sz w:val="20"/>
        </w:rPr>
        <w:t>More than just employment</w:t>
      </w:r>
      <w:r w:rsidR="0082052D" w:rsidRPr="0057012D">
        <w:rPr>
          <w:rFonts w:ascii="Garamond" w:hAnsi="Garamond"/>
          <w:kern w:val="20"/>
          <w:sz w:val="20"/>
        </w:rPr>
        <w:t xml:space="preserve"> </w:t>
      </w:r>
      <w:r w:rsidR="00D9142D">
        <w:rPr>
          <w:rFonts w:ascii="Garamond" w:hAnsi="Garamond"/>
          <w:kern w:val="20"/>
          <w:sz w:val="20"/>
        </w:rPr>
        <w:t xml:space="preserve">practices liability is covered including </w:t>
      </w:r>
      <w:r w:rsidRPr="0057012D">
        <w:rPr>
          <w:rFonts w:ascii="Garamond" w:hAnsi="Garamond"/>
          <w:kern w:val="20"/>
          <w:sz w:val="20"/>
        </w:rPr>
        <w:t>claims of discrimination or h</w:t>
      </w:r>
      <w:r w:rsidR="00D9142D">
        <w:rPr>
          <w:rFonts w:ascii="Garamond" w:hAnsi="Garamond"/>
          <w:kern w:val="20"/>
          <w:sz w:val="20"/>
        </w:rPr>
        <w:t>a</w:t>
      </w:r>
      <w:r w:rsidR="00B220F6">
        <w:rPr>
          <w:rFonts w:ascii="Garamond" w:hAnsi="Garamond"/>
          <w:kern w:val="20"/>
          <w:sz w:val="20"/>
        </w:rPr>
        <w:t xml:space="preserve">rassment made by third-parties; </w:t>
      </w:r>
      <w:r w:rsidRPr="0057012D">
        <w:rPr>
          <w:rFonts w:ascii="Garamond" w:hAnsi="Garamond"/>
          <w:kern w:val="20"/>
          <w:sz w:val="20"/>
        </w:rPr>
        <w:t>such as customers and clients</w:t>
      </w:r>
      <w:r w:rsidR="00D9142D">
        <w:rPr>
          <w:rFonts w:ascii="Garamond" w:hAnsi="Garamond"/>
          <w:kern w:val="20"/>
          <w:sz w:val="20"/>
        </w:rPr>
        <w:t>,</w:t>
      </w:r>
      <w:r w:rsidRPr="0057012D">
        <w:rPr>
          <w:rFonts w:ascii="Garamond" w:hAnsi="Garamond"/>
          <w:kern w:val="20"/>
          <w:sz w:val="20"/>
        </w:rPr>
        <w:t xml:space="preserve"> or any member of the general public, whether brought under public </w:t>
      </w:r>
      <w:r w:rsidR="00235FD4" w:rsidRPr="0057012D">
        <w:rPr>
          <w:rFonts w:ascii="Garamond" w:hAnsi="Garamond"/>
          <w:kern w:val="20"/>
          <w:sz w:val="20"/>
        </w:rPr>
        <w:t>accommodation</w:t>
      </w:r>
      <w:r w:rsidRPr="0057012D">
        <w:rPr>
          <w:rFonts w:ascii="Garamond" w:hAnsi="Garamond"/>
          <w:kern w:val="20"/>
          <w:sz w:val="20"/>
        </w:rPr>
        <w:t xml:space="preserve"> statues or any other theory of liability</w:t>
      </w:r>
      <w:r w:rsidR="00C11748" w:rsidRPr="0057012D">
        <w:rPr>
          <w:rFonts w:ascii="Garamond" w:hAnsi="Garamond"/>
          <w:kern w:val="20"/>
          <w:sz w:val="20"/>
        </w:rPr>
        <w:t>.</w:t>
      </w:r>
      <w:r w:rsidRPr="0057012D">
        <w:rPr>
          <w:rFonts w:ascii="Garamond" w:hAnsi="Garamond"/>
          <w:kern w:val="20"/>
          <w:sz w:val="20"/>
        </w:rPr>
        <w:t xml:space="preserve"> </w:t>
      </w:r>
    </w:p>
    <w:p w:rsidR="00235FD4" w:rsidRPr="00840F1F" w:rsidRDefault="00B220F6" w:rsidP="008516CC">
      <w:pPr>
        <w:numPr>
          <w:ilvl w:val="0"/>
          <w:numId w:val="27"/>
        </w:numPr>
        <w:spacing w:line="204" w:lineRule="auto"/>
        <w:rPr>
          <w:rFonts w:ascii="Garamond" w:hAnsi="Garamond"/>
          <w:kern w:val="20"/>
          <w:sz w:val="20"/>
        </w:rPr>
      </w:pPr>
      <w:r w:rsidRPr="00840F1F">
        <w:rPr>
          <w:rFonts w:ascii="Garamond" w:hAnsi="Garamond"/>
          <w:kern w:val="20"/>
          <w:sz w:val="20"/>
        </w:rPr>
        <w:t>P</w:t>
      </w:r>
      <w:r w:rsidR="00235FD4" w:rsidRPr="00840F1F">
        <w:rPr>
          <w:rFonts w:ascii="Garamond" w:hAnsi="Garamond"/>
          <w:kern w:val="20"/>
          <w:sz w:val="20"/>
        </w:rPr>
        <w:t xml:space="preserve">unitive damages </w:t>
      </w:r>
      <w:r w:rsidRPr="00840F1F">
        <w:rPr>
          <w:rFonts w:ascii="Garamond" w:hAnsi="Garamond"/>
          <w:kern w:val="20"/>
          <w:sz w:val="20"/>
        </w:rPr>
        <w:t xml:space="preserve">coverage is provided, </w:t>
      </w:r>
      <w:r w:rsidR="00235FD4" w:rsidRPr="00840F1F">
        <w:rPr>
          <w:rFonts w:ascii="Garamond" w:hAnsi="Garamond"/>
          <w:kern w:val="20"/>
          <w:sz w:val="20"/>
        </w:rPr>
        <w:t>using the broadest “any jurisdiction more favorable” wording</w:t>
      </w:r>
      <w:r w:rsidR="00C11748" w:rsidRPr="00840F1F">
        <w:rPr>
          <w:rFonts w:ascii="Garamond" w:hAnsi="Garamond"/>
          <w:kern w:val="20"/>
          <w:sz w:val="20"/>
        </w:rPr>
        <w:t>.</w:t>
      </w:r>
    </w:p>
    <w:p w:rsidR="00E45D0E" w:rsidRPr="00840F1F" w:rsidRDefault="00235FD4" w:rsidP="008516CC">
      <w:pPr>
        <w:numPr>
          <w:ilvl w:val="0"/>
          <w:numId w:val="27"/>
        </w:numPr>
        <w:spacing w:line="204" w:lineRule="auto"/>
        <w:rPr>
          <w:rFonts w:ascii="Garamond" w:hAnsi="Garamond"/>
          <w:kern w:val="20"/>
          <w:sz w:val="20"/>
        </w:rPr>
      </w:pPr>
      <w:r w:rsidRPr="00840F1F">
        <w:rPr>
          <w:rFonts w:ascii="Garamond" w:hAnsi="Garamond"/>
          <w:kern w:val="20"/>
          <w:sz w:val="20"/>
        </w:rPr>
        <w:t>No class action, bodily injury or intentional acts exclusions (EPLI)</w:t>
      </w:r>
      <w:r w:rsidR="00C11748" w:rsidRPr="00840F1F">
        <w:rPr>
          <w:rFonts w:ascii="Garamond" w:hAnsi="Garamond"/>
          <w:kern w:val="20"/>
          <w:sz w:val="20"/>
        </w:rPr>
        <w:t>.</w:t>
      </w:r>
    </w:p>
    <w:p w:rsidR="00235FD4" w:rsidRPr="00840F1F" w:rsidRDefault="00235FD4" w:rsidP="008516CC">
      <w:pPr>
        <w:numPr>
          <w:ilvl w:val="0"/>
          <w:numId w:val="27"/>
        </w:numPr>
        <w:spacing w:line="204" w:lineRule="auto"/>
        <w:rPr>
          <w:rFonts w:ascii="Garamond" w:hAnsi="Garamond"/>
          <w:kern w:val="20"/>
          <w:sz w:val="20"/>
        </w:rPr>
      </w:pPr>
      <w:r w:rsidRPr="00840F1F">
        <w:rPr>
          <w:rFonts w:ascii="Garamond" w:hAnsi="Garamond"/>
          <w:kern w:val="20"/>
          <w:sz w:val="20"/>
        </w:rPr>
        <w:t>Long claims notice period of 60 days post expiry</w:t>
      </w:r>
      <w:r w:rsidR="00C11748" w:rsidRPr="00840F1F">
        <w:rPr>
          <w:rFonts w:ascii="Garamond" w:hAnsi="Garamond"/>
          <w:kern w:val="20"/>
          <w:sz w:val="20"/>
        </w:rPr>
        <w:t>.</w:t>
      </w:r>
    </w:p>
    <w:p w:rsidR="00235FD4" w:rsidRPr="00840F1F" w:rsidRDefault="00235FD4" w:rsidP="008516CC">
      <w:pPr>
        <w:numPr>
          <w:ilvl w:val="0"/>
          <w:numId w:val="27"/>
        </w:numPr>
        <w:spacing w:line="204" w:lineRule="auto"/>
        <w:rPr>
          <w:rFonts w:ascii="Garamond" w:hAnsi="Garamond"/>
          <w:kern w:val="20"/>
          <w:sz w:val="20"/>
        </w:rPr>
      </w:pPr>
      <w:r w:rsidRPr="00840F1F">
        <w:rPr>
          <w:rFonts w:ascii="Garamond" w:hAnsi="Garamond"/>
          <w:kern w:val="20"/>
          <w:sz w:val="20"/>
        </w:rPr>
        <w:t>Policy covers claims made worldwide, including arising out of overseas locations</w:t>
      </w:r>
      <w:r w:rsidR="00C11748" w:rsidRPr="00840F1F">
        <w:rPr>
          <w:rFonts w:ascii="Garamond" w:hAnsi="Garamond"/>
          <w:kern w:val="20"/>
          <w:sz w:val="20"/>
        </w:rPr>
        <w:t>.</w:t>
      </w:r>
    </w:p>
    <w:p w:rsidR="008516CC" w:rsidRPr="008516CC" w:rsidRDefault="008516CC" w:rsidP="008516CC">
      <w:pPr>
        <w:numPr>
          <w:ilvl w:val="0"/>
          <w:numId w:val="27"/>
        </w:numPr>
        <w:spacing w:line="204" w:lineRule="auto"/>
        <w:rPr>
          <w:rFonts w:ascii="Garamond" w:hAnsi="Garamond"/>
          <w:kern w:val="20"/>
          <w:sz w:val="20"/>
        </w:rPr>
      </w:pPr>
      <w:r w:rsidRPr="00840F1F">
        <w:rPr>
          <w:rFonts w:ascii="Garamond" w:hAnsi="Garamond"/>
          <w:kern w:val="20"/>
          <w:sz w:val="20"/>
        </w:rPr>
        <w:t xml:space="preserve">Event Coverage </w:t>
      </w:r>
      <w:r w:rsidR="00555087" w:rsidRPr="00840F1F">
        <w:rPr>
          <w:rFonts w:ascii="Garamond" w:hAnsi="Garamond"/>
          <w:kern w:val="20"/>
          <w:sz w:val="20"/>
        </w:rPr>
        <w:t>will assist with covering cost of</w:t>
      </w:r>
      <w:r w:rsidR="00555087">
        <w:rPr>
          <w:rFonts w:ascii="Garamond" w:hAnsi="Garamond"/>
          <w:kern w:val="20"/>
          <w:sz w:val="20"/>
        </w:rPr>
        <w:t xml:space="preserve"> PR firm to combat employee related negative press </w:t>
      </w:r>
    </w:p>
    <w:p w:rsidR="00C11748" w:rsidRPr="0057012D" w:rsidRDefault="00670740" w:rsidP="0057012D">
      <w:pPr>
        <w:spacing w:before="120" w:line="204" w:lineRule="auto"/>
        <w:outlineLvl w:val="0"/>
        <w:rPr>
          <w:rFonts w:ascii="Garamond" w:hAnsi="Garamond"/>
          <w:b/>
          <w:i/>
          <w:kern w:val="20"/>
          <w:sz w:val="20"/>
        </w:rPr>
      </w:pPr>
      <w:r w:rsidRPr="0057012D">
        <w:rPr>
          <w:rFonts w:ascii="Garamond" w:hAnsi="Garamond"/>
          <w:b/>
          <w:i/>
          <w:kern w:val="20"/>
          <w:sz w:val="20"/>
        </w:rPr>
        <w:t>Important Notes</w:t>
      </w:r>
      <w:r w:rsidR="002E680A" w:rsidRPr="0057012D">
        <w:rPr>
          <w:rFonts w:ascii="Garamond" w:hAnsi="Garamond"/>
          <w:b/>
          <w:i/>
          <w:kern w:val="20"/>
          <w:sz w:val="20"/>
        </w:rPr>
        <w:t>:</w:t>
      </w:r>
    </w:p>
    <w:p w:rsidR="00C11748" w:rsidRPr="0057012D" w:rsidRDefault="00670740" w:rsidP="0057012D">
      <w:pPr>
        <w:pStyle w:val="ListParagraph"/>
        <w:numPr>
          <w:ilvl w:val="0"/>
          <w:numId w:val="23"/>
        </w:numPr>
        <w:spacing w:line="204" w:lineRule="auto"/>
        <w:outlineLvl w:val="0"/>
        <w:rPr>
          <w:rFonts w:ascii="Garamond" w:hAnsi="Garamond"/>
          <w:b/>
          <w:i/>
          <w:kern w:val="20"/>
          <w:sz w:val="20"/>
        </w:rPr>
      </w:pPr>
      <w:r w:rsidRPr="0057012D">
        <w:rPr>
          <w:rFonts w:ascii="Garamond" w:hAnsi="Garamond"/>
          <w:kern w:val="20"/>
          <w:sz w:val="20"/>
        </w:rPr>
        <w:t xml:space="preserve">The Aggregate Limit for Third Party Liability coverage will be the same as the EPLI Policy Aggregate Limit. Defense is included within the </w:t>
      </w:r>
      <w:r w:rsidR="0082052D" w:rsidRPr="0057012D">
        <w:rPr>
          <w:rFonts w:ascii="Garamond" w:hAnsi="Garamond"/>
          <w:kern w:val="20"/>
          <w:sz w:val="20"/>
        </w:rPr>
        <w:t>A</w:t>
      </w:r>
      <w:r w:rsidRPr="0057012D">
        <w:rPr>
          <w:rFonts w:ascii="Garamond" w:hAnsi="Garamond"/>
          <w:kern w:val="20"/>
          <w:sz w:val="20"/>
        </w:rPr>
        <w:t>ggregate</w:t>
      </w:r>
      <w:r w:rsidR="0082052D" w:rsidRPr="0057012D">
        <w:rPr>
          <w:rFonts w:ascii="Garamond" w:hAnsi="Garamond"/>
          <w:kern w:val="20"/>
          <w:sz w:val="20"/>
        </w:rPr>
        <w:t xml:space="preserve"> L</w:t>
      </w:r>
      <w:r w:rsidRPr="0057012D">
        <w:rPr>
          <w:rFonts w:ascii="Garamond" w:hAnsi="Garamond"/>
          <w:kern w:val="20"/>
          <w:sz w:val="20"/>
        </w:rPr>
        <w:t xml:space="preserve">imit. </w:t>
      </w:r>
    </w:p>
    <w:p w:rsidR="000E5908" w:rsidRPr="0057012D" w:rsidRDefault="00264666" w:rsidP="0057012D">
      <w:pPr>
        <w:pStyle w:val="ListParagraph"/>
        <w:numPr>
          <w:ilvl w:val="0"/>
          <w:numId w:val="23"/>
        </w:numPr>
        <w:spacing w:line="204" w:lineRule="auto"/>
        <w:outlineLvl w:val="0"/>
        <w:rPr>
          <w:rFonts w:ascii="Garamond" w:hAnsi="Garamond"/>
          <w:b/>
          <w:i/>
          <w:kern w:val="20"/>
          <w:sz w:val="20"/>
        </w:rPr>
      </w:pPr>
      <w:r w:rsidRPr="0057012D">
        <w:rPr>
          <w:rFonts w:ascii="Garamond" w:hAnsi="Garamond"/>
          <w:kern w:val="20"/>
          <w:sz w:val="20"/>
        </w:rPr>
        <w:t xml:space="preserve">Policyholder </w:t>
      </w:r>
      <w:r w:rsidR="00670740" w:rsidRPr="0057012D">
        <w:rPr>
          <w:rFonts w:ascii="Garamond" w:hAnsi="Garamond"/>
          <w:kern w:val="20"/>
          <w:sz w:val="20"/>
        </w:rPr>
        <w:t xml:space="preserve">50% </w:t>
      </w:r>
      <w:r w:rsidR="0082052D" w:rsidRPr="0057012D">
        <w:rPr>
          <w:rFonts w:ascii="Garamond" w:hAnsi="Garamond"/>
          <w:kern w:val="20"/>
          <w:sz w:val="20"/>
        </w:rPr>
        <w:t>R</w:t>
      </w:r>
      <w:r w:rsidRPr="0057012D">
        <w:rPr>
          <w:rFonts w:ascii="Garamond" w:hAnsi="Garamond"/>
          <w:kern w:val="20"/>
          <w:sz w:val="20"/>
        </w:rPr>
        <w:t xml:space="preserve">etention </w:t>
      </w:r>
      <w:r w:rsidR="0082052D" w:rsidRPr="0057012D">
        <w:rPr>
          <w:rFonts w:ascii="Garamond" w:hAnsi="Garamond"/>
          <w:kern w:val="20"/>
          <w:sz w:val="20"/>
        </w:rPr>
        <w:t>C</w:t>
      </w:r>
      <w:r w:rsidRPr="0057012D">
        <w:rPr>
          <w:rFonts w:ascii="Garamond" w:hAnsi="Garamond"/>
          <w:kern w:val="20"/>
          <w:sz w:val="20"/>
        </w:rPr>
        <w:t>redit for utilizing approved employment attorney prior to terminations</w:t>
      </w:r>
      <w:r w:rsidR="00C11748" w:rsidRPr="0057012D">
        <w:rPr>
          <w:rFonts w:ascii="Garamond" w:hAnsi="Garamond"/>
          <w:kern w:val="20"/>
          <w:sz w:val="20"/>
        </w:rPr>
        <w:t>.</w:t>
      </w:r>
    </w:p>
    <w:p w:rsidR="00C11748" w:rsidRPr="0057012D" w:rsidRDefault="002E680A" w:rsidP="0057012D">
      <w:pPr>
        <w:spacing w:before="120" w:line="204" w:lineRule="auto"/>
        <w:outlineLvl w:val="0"/>
        <w:rPr>
          <w:rFonts w:ascii="Garamond" w:hAnsi="Garamond"/>
          <w:b/>
          <w:i/>
          <w:kern w:val="20"/>
          <w:sz w:val="20"/>
        </w:rPr>
      </w:pPr>
      <w:r w:rsidRPr="0057012D">
        <w:rPr>
          <w:rFonts w:ascii="Garamond" w:hAnsi="Garamond"/>
          <w:b/>
          <w:i/>
          <w:kern w:val="20"/>
          <w:sz w:val="20"/>
        </w:rPr>
        <w:t>Premium Payment / Adjustments:</w:t>
      </w:r>
    </w:p>
    <w:p w:rsidR="00C11748" w:rsidRPr="0057012D" w:rsidRDefault="002E680A" w:rsidP="0057012D">
      <w:pPr>
        <w:pStyle w:val="ListParagraph"/>
        <w:numPr>
          <w:ilvl w:val="0"/>
          <w:numId w:val="24"/>
        </w:numPr>
        <w:spacing w:line="204" w:lineRule="auto"/>
        <w:outlineLvl w:val="0"/>
        <w:rPr>
          <w:rFonts w:ascii="Garamond" w:hAnsi="Garamond"/>
          <w:b/>
          <w:i/>
          <w:kern w:val="20"/>
          <w:sz w:val="20"/>
        </w:rPr>
      </w:pPr>
      <w:r w:rsidRPr="0057012D">
        <w:rPr>
          <w:rFonts w:ascii="Garamond" w:hAnsi="Garamond"/>
          <w:kern w:val="20"/>
          <w:sz w:val="20"/>
        </w:rPr>
        <w:t>There are no additional premiums charged for stores added after the policy effective date.</w:t>
      </w:r>
    </w:p>
    <w:p w:rsidR="00294F5C" w:rsidRPr="0057012D" w:rsidRDefault="002E680A" w:rsidP="0057012D">
      <w:pPr>
        <w:pStyle w:val="ListParagraph"/>
        <w:numPr>
          <w:ilvl w:val="0"/>
          <w:numId w:val="24"/>
        </w:numPr>
        <w:spacing w:line="204" w:lineRule="auto"/>
        <w:outlineLvl w:val="0"/>
        <w:rPr>
          <w:rFonts w:ascii="Garamond" w:hAnsi="Garamond" w:cs="Arial"/>
          <w:sz w:val="20"/>
        </w:rPr>
      </w:pPr>
      <w:r w:rsidRPr="0057012D">
        <w:rPr>
          <w:rFonts w:ascii="Garamond" w:hAnsi="Garamond"/>
          <w:kern w:val="20"/>
          <w:sz w:val="20"/>
        </w:rPr>
        <w:t>There are no return premiums given for stores deleted after the policy effective date</w:t>
      </w:r>
      <w:r w:rsidR="0057012D" w:rsidRPr="0057012D">
        <w:rPr>
          <w:rFonts w:ascii="Garamond" w:hAnsi="Garamond"/>
          <w:kern w:val="20"/>
          <w:sz w:val="20"/>
        </w:rPr>
        <w:t>.</w:t>
      </w:r>
    </w:p>
    <w:sectPr w:rsidR="00294F5C" w:rsidRPr="0057012D" w:rsidSect="00840F1F">
      <w:footerReference w:type="default" r:id="rId9"/>
      <w:pgSz w:w="12240" w:h="15840" w:code="1"/>
      <w:pgMar w:top="900" w:right="1080" w:bottom="1440" w:left="1080" w:header="86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A9" w:rsidRDefault="00A204A9">
      <w:r>
        <w:separator/>
      </w:r>
    </w:p>
  </w:endnote>
  <w:endnote w:type="continuationSeparator" w:id="0">
    <w:p w:rsidR="00A204A9" w:rsidRDefault="00A2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17"/>
      <w:gridCol w:w="20"/>
      <w:gridCol w:w="20"/>
    </w:tblGrid>
    <w:tr w:rsidR="00DB5FE3" w:rsidTr="008A031C">
      <w:trPr>
        <w:trHeight w:val="567"/>
      </w:trPr>
      <w:tc>
        <w:tcPr>
          <w:tcW w:w="9317" w:type="dxa"/>
          <w:tcBorders>
            <w:top w:val="nil"/>
            <w:left w:val="nil"/>
            <w:bottom w:val="nil"/>
            <w:right w:val="nil"/>
          </w:tcBorders>
          <w:vAlign w:val="bottom"/>
        </w:tcPr>
        <w:p w:rsidR="00DB5FE3" w:rsidRPr="003E3B36" w:rsidRDefault="00DB5FE3" w:rsidP="0057012D">
          <w:pPr>
            <w:jc w:val="center"/>
            <w:rPr>
              <w:i/>
              <w:sz w:val="18"/>
              <w:szCs w:val="18"/>
            </w:rPr>
          </w:pPr>
          <w:bookmarkStart w:id="1" w:name="LegalText"/>
          <w:bookmarkEnd w:id="1"/>
          <w:r w:rsidRPr="003E3B36">
            <w:rPr>
              <w:i/>
              <w:sz w:val="18"/>
              <w:szCs w:val="18"/>
            </w:rPr>
            <w:t xml:space="preserve">This </w:t>
          </w:r>
          <w:r w:rsidR="00537657">
            <w:rPr>
              <w:i/>
              <w:sz w:val="18"/>
              <w:szCs w:val="18"/>
            </w:rPr>
            <w:t>document as presented is for</w:t>
          </w:r>
          <w:r w:rsidRPr="003E3B36">
            <w:rPr>
              <w:i/>
              <w:sz w:val="18"/>
              <w:szCs w:val="18"/>
            </w:rPr>
            <w:t xml:space="preserve"> information only and does not amend, extend or alter the coverages provided by the actual insurance policies.  All coverage is subject to declarations, terms, conditions and exclusions of the actual policy.</w:t>
          </w:r>
        </w:p>
        <w:p w:rsidR="00DB5FE3" w:rsidRDefault="00DB5FE3">
          <w:pPr>
            <w:pStyle w:val="Legalcopy"/>
            <w:rPr>
              <w:rStyle w:val="TextHide"/>
            </w:rPr>
          </w:pPr>
        </w:p>
      </w:tc>
      <w:tc>
        <w:tcPr>
          <w:tcW w:w="20" w:type="dxa"/>
          <w:tcBorders>
            <w:top w:val="nil"/>
            <w:left w:val="nil"/>
            <w:bottom w:val="nil"/>
            <w:right w:val="nil"/>
          </w:tcBorders>
        </w:tcPr>
        <w:p w:rsidR="00DB5FE3" w:rsidRDefault="00DB5FE3">
          <w:pPr>
            <w:pStyle w:val="TableLogoText"/>
            <w:rPr>
              <w:rStyle w:val="TextHide"/>
            </w:rPr>
          </w:pPr>
        </w:p>
      </w:tc>
      <w:tc>
        <w:tcPr>
          <w:tcW w:w="20" w:type="dxa"/>
          <w:tcBorders>
            <w:top w:val="nil"/>
            <w:left w:val="nil"/>
            <w:bottom w:val="nil"/>
            <w:right w:val="nil"/>
          </w:tcBorders>
          <w:vAlign w:val="bottom"/>
        </w:tcPr>
        <w:p w:rsidR="00DB5FE3" w:rsidRDefault="00DB5FE3">
          <w:pPr>
            <w:pStyle w:val="TableLogoText"/>
            <w:rPr>
              <w:rStyle w:val="TextHide"/>
            </w:rPr>
          </w:pPr>
        </w:p>
      </w:tc>
    </w:tr>
  </w:tbl>
  <w:p w:rsidR="00DB5FE3" w:rsidRDefault="00DB5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A9" w:rsidRDefault="00A204A9">
      <w:r>
        <w:separator/>
      </w:r>
    </w:p>
  </w:footnote>
  <w:footnote w:type="continuationSeparator" w:id="0">
    <w:p w:rsidR="00A204A9" w:rsidRDefault="00A20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F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6B2692"/>
    <w:multiLevelType w:val="singleLevel"/>
    <w:tmpl w:val="04090001"/>
    <w:lvl w:ilvl="0">
      <w:start w:val="1"/>
      <w:numFmt w:val="bullet"/>
      <w:lvlText w:val=""/>
      <w:lvlJc w:val="left"/>
      <w:pPr>
        <w:ind w:left="720" w:hanging="360"/>
      </w:pPr>
      <w:rPr>
        <w:rFonts w:ascii="Symbol" w:hAnsi="Symbol" w:hint="default"/>
      </w:rPr>
    </w:lvl>
  </w:abstractNum>
  <w:abstractNum w:abstractNumId="2">
    <w:nsid w:val="0C333836"/>
    <w:multiLevelType w:val="singleLevel"/>
    <w:tmpl w:val="0409000F"/>
    <w:lvl w:ilvl="0">
      <w:start w:val="1"/>
      <w:numFmt w:val="decimal"/>
      <w:lvlText w:val="%1."/>
      <w:lvlJc w:val="left"/>
      <w:pPr>
        <w:tabs>
          <w:tab w:val="num" w:pos="360"/>
        </w:tabs>
        <w:ind w:left="360" w:hanging="360"/>
      </w:pPr>
    </w:lvl>
  </w:abstractNum>
  <w:abstractNum w:abstractNumId="3">
    <w:nsid w:val="0F3D4219"/>
    <w:multiLevelType w:val="singleLevel"/>
    <w:tmpl w:val="F89C06CC"/>
    <w:lvl w:ilvl="0">
      <w:numFmt w:val="bullet"/>
      <w:lvlText w:val=""/>
      <w:lvlJc w:val="left"/>
      <w:pPr>
        <w:tabs>
          <w:tab w:val="num" w:pos="720"/>
        </w:tabs>
        <w:ind w:left="720" w:hanging="720"/>
      </w:pPr>
      <w:rPr>
        <w:rFonts w:ascii="Wingdings" w:hAnsi="Wingdings" w:hint="default"/>
        <w:sz w:val="22"/>
      </w:rPr>
    </w:lvl>
  </w:abstractNum>
  <w:abstractNum w:abstractNumId="4">
    <w:nsid w:val="119C469A"/>
    <w:multiLevelType w:val="hybridMultilevel"/>
    <w:tmpl w:val="817A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1C66"/>
    <w:multiLevelType w:val="singleLevel"/>
    <w:tmpl w:val="0409000F"/>
    <w:lvl w:ilvl="0">
      <w:start w:val="1"/>
      <w:numFmt w:val="decimal"/>
      <w:lvlText w:val="%1."/>
      <w:lvlJc w:val="left"/>
      <w:pPr>
        <w:tabs>
          <w:tab w:val="num" w:pos="360"/>
        </w:tabs>
        <w:ind w:left="360" w:hanging="360"/>
      </w:pPr>
    </w:lvl>
  </w:abstractNum>
  <w:abstractNum w:abstractNumId="6">
    <w:nsid w:val="178A3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C22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9955F0"/>
    <w:multiLevelType w:val="hybridMultilevel"/>
    <w:tmpl w:val="B9D6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87E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2A9684A"/>
    <w:multiLevelType w:val="hybridMultilevel"/>
    <w:tmpl w:val="5D2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13B13"/>
    <w:multiLevelType w:val="singleLevel"/>
    <w:tmpl w:val="0409000F"/>
    <w:lvl w:ilvl="0">
      <w:start w:val="1"/>
      <w:numFmt w:val="decimal"/>
      <w:lvlText w:val="%1."/>
      <w:lvlJc w:val="left"/>
      <w:pPr>
        <w:tabs>
          <w:tab w:val="num" w:pos="360"/>
        </w:tabs>
        <w:ind w:left="360" w:hanging="360"/>
      </w:pPr>
    </w:lvl>
  </w:abstractNum>
  <w:abstractNum w:abstractNumId="12">
    <w:nsid w:val="28297906"/>
    <w:multiLevelType w:val="singleLevel"/>
    <w:tmpl w:val="9AA2E652"/>
    <w:lvl w:ilvl="0">
      <w:start w:val="1"/>
      <w:numFmt w:val="bullet"/>
      <w:lvlText w:val=""/>
      <w:lvlJc w:val="left"/>
      <w:pPr>
        <w:tabs>
          <w:tab w:val="num" w:pos="360"/>
        </w:tabs>
        <w:ind w:left="360" w:hanging="360"/>
      </w:pPr>
      <w:rPr>
        <w:rFonts w:ascii="Symbol" w:hAnsi="Symbol" w:hint="default"/>
      </w:rPr>
    </w:lvl>
  </w:abstractNum>
  <w:abstractNum w:abstractNumId="13">
    <w:nsid w:val="2B4B0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EF1910"/>
    <w:multiLevelType w:val="hybridMultilevel"/>
    <w:tmpl w:val="4E1C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E398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9D2660"/>
    <w:multiLevelType w:val="singleLevel"/>
    <w:tmpl w:val="04090001"/>
    <w:lvl w:ilvl="0">
      <w:start w:val="1"/>
      <w:numFmt w:val="bullet"/>
      <w:lvlText w:val=""/>
      <w:lvlJc w:val="left"/>
      <w:pPr>
        <w:ind w:left="720" w:hanging="360"/>
      </w:pPr>
      <w:rPr>
        <w:rFonts w:ascii="Symbol" w:hAnsi="Symbol" w:hint="default"/>
      </w:rPr>
    </w:lvl>
  </w:abstractNum>
  <w:abstractNum w:abstractNumId="17">
    <w:nsid w:val="41790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2F0268D"/>
    <w:multiLevelType w:val="hybridMultilevel"/>
    <w:tmpl w:val="470AC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6D0DAF"/>
    <w:multiLevelType w:val="hybridMultilevel"/>
    <w:tmpl w:val="AD2E2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5D5D17"/>
    <w:multiLevelType w:val="singleLevel"/>
    <w:tmpl w:val="0409000F"/>
    <w:lvl w:ilvl="0">
      <w:start w:val="1"/>
      <w:numFmt w:val="decimal"/>
      <w:lvlText w:val="%1."/>
      <w:lvlJc w:val="left"/>
      <w:pPr>
        <w:tabs>
          <w:tab w:val="num" w:pos="360"/>
        </w:tabs>
        <w:ind w:left="360" w:hanging="360"/>
      </w:pPr>
    </w:lvl>
  </w:abstractNum>
  <w:abstractNum w:abstractNumId="21">
    <w:nsid w:val="6543088E"/>
    <w:multiLevelType w:val="hybridMultilevel"/>
    <w:tmpl w:val="BA62E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CC5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C56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A1E1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A893E6C"/>
    <w:multiLevelType w:val="hybridMultilevel"/>
    <w:tmpl w:val="D17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92C08"/>
    <w:multiLevelType w:val="hybridMultilevel"/>
    <w:tmpl w:val="B79095E0"/>
    <w:lvl w:ilvl="0" w:tplc="B8787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11"/>
  </w:num>
  <w:num w:numId="5">
    <w:abstractNumId w:val="5"/>
  </w:num>
  <w:num w:numId="6">
    <w:abstractNumId w:val="6"/>
  </w:num>
  <w:num w:numId="7">
    <w:abstractNumId w:val="23"/>
  </w:num>
  <w:num w:numId="8">
    <w:abstractNumId w:val="1"/>
  </w:num>
  <w:num w:numId="9">
    <w:abstractNumId w:val="16"/>
  </w:num>
  <w:num w:numId="10">
    <w:abstractNumId w:val="24"/>
  </w:num>
  <w:num w:numId="11">
    <w:abstractNumId w:val="7"/>
  </w:num>
  <w:num w:numId="12">
    <w:abstractNumId w:val="0"/>
  </w:num>
  <w:num w:numId="13">
    <w:abstractNumId w:val="13"/>
  </w:num>
  <w:num w:numId="14">
    <w:abstractNumId w:val="17"/>
  </w:num>
  <w:num w:numId="15">
    <w:abstractNumId w:val="22"/>
  </w:num>
  <w:num w:numId="16">
    <w:abstractNumId w:val="12"/>
  </w:num>
  <w:num w:numId="17">
    <w:abstractNumId w:val="9"/>
  </w:num>
  <w:num w:numId="18">
    <w:abstractNumId w:val="3"/>
  </w:num>
  <w:num w:numId="19">
    <w:abstractNumId w:val="10"/>
  </w:num>
  <w:num w:numId="20">
    <w:abstractNumId w:val="19"/>
  </w:num>
  <w:num w:numId="21">
    <w:abstractNumId w:val="14"/>
  </w:num>
  <w:num w:numId="22">
    <w:abstractNumId w:val="21"/>
  </w:num>
  <w:num w:numId="23">
    <w:abstractNumId w:val="8"/>
  </w:num>
  <w:num w:numId="24">
    <w:abstractNumId w:val="4"/>
  </w:num>
  <w:num w:numId="25">
    <w:abstractNumId w:val="26"/>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0A"/>
    <w:rsid w:val="000035EF"/>
    <w:rsid w:val="0000589F"/>
    <w:rsid w:val="000414FD"/>
    <w:rsid w:val="00063CE6"/>
    <w:rsid w:val="00065474"/>
    <w:rsid w:val="00085672"/>
    <w:rsid w:val="000D62E8"/>
    <w:rsid w:val="000E05E6"/>
    <w:rsid w:val="000E5908"/>
    <w:rsid w:val="000E76EA"/>
    <w:rsid w:val="00135C5A"/>
    <w:rsid w:val="001B0584"/>
    <w:rsid w:val="001F7066"/>
    <w:rsid w:val="0021025E"/>
    <w:rsid w:val="00235FD4"/>
    <w:rsid w:val="002403C8"/>
    <w:rsid w:val="002454D0"/>
    <w:rsid w:val="00257C70"/>
    <w:rsid w:val="00264666"/>
    <w:rsid w:val="002679EE"/>
    <w:rsid w:val="00294F5C"/>
    <w:rsid w:val="002C0C88"/>
    <w:rsid w:val="002E680A"/>
    <w:rsid w:val="002F5468"/>
    <w:rsid w:val="003231B5"/>
    <w:rsid w:val="00342B64"/>
    <w:rsid w:val="00370DCC"/>
    <w:rsid w:val="00383B4B"/>
    <w:rsid w:val="0038548C"/>
    <w:rsid w:val="003D55B1"/>
    <w:rsid w:val="003E3B36"/>
    <w:rsid w:val="00407035"/>
    <w:rsid w:val="004267CA"/>
    <w:rsid w:val="004A3EDD"/>
    <w:rsid w:val="004B0182"/>
    <w:rsid w:val="004D3679"/>
    <w:rsid w:val="005050DB"/>
    <w:rsid w:val="00517E35"/>
    <w:rsid w:val="0052039D"/>
    <w:rsid w:val="00537657"/>
    <w:rsid w:val="00555087"/>
    <w:rsid w:val="0057012D"/>
    <w:rsid w:val="005A2B7A"/>
    <w:rsid w:val="005E76C5"/>
    <w:rsid w:val="006157EB"/>
    <w:rsid w:val="006636FC"/>
    <w:rsid w:val="00670740"/>
    <w:rsid w:val="00673FBC"/>
    <w:rsid w:val="006863AF"/>
    <w:rsid w:val="006E4347"/>
    <w:rsid w:val="007244F1"/>
    <w:rsid w:val="00741492"/>
    <w:rsid w:val="007860CA"/>
    <w:rsid w:val="007C439C"/>
    <w:rsid w:val="007E6590"/>
    <w:rsid w:val="0082052D"/>
    <w:rsid w:val="0083153B"/>
    <w:rsid w:val="008358B6"/>
    <w:rsid w:val="00840F1F"/>
    <w:rsid w:val="00842B69"/>
    <w:rsid w:val="008516CC"/>
    <w:rsid w:val="00865618"/>
    <w:rsid w:val="00891E99"/>
    <w:rsid w:val="00893656"/>
    <w:rsid w:val="008960BE"/>
    <w:rsid w:val="008A031C"/>
    <w:rsid w:val="009201F0"/>
    <w:rsid w:val="0093134F"/>
    <w:rsid w:val="00931A71"/>
    <w:rsid w:val="00934CC0"/>
    <w:rsid w:val="00950297"/>
    <w:rsid w:val="00981F43"/>
    <w:rsid w:val="009A0295"/>
    <w:rsid w:val="00A03C51"/>
    <w:rsid w:val="00A03D30"/>
    <w:rsid w:val="00A16172"/>
    <w:rsid w:val="00A204A9"/>
    <w:rsid w:val="00A311CC"/>
    <w:rsid w:val="00A538A8"/>
    <w:rsid w:val="00B220F6"/>
    <w:rsid w:val="00B52E37"/>
    <w:rsid w:val="00B80ADB"/>
    <w:rsid w:val="00BB211E"/>
    <w:rsid w:val="00BF5B92"/>
    <w:rsid w:val="00C06DD9"/>
    <w:rsid w:val="00C11748"/>
    <w:rsid w:val="00C22F04"/>
    <w:rsid w:val="00C55EF4"/>
    <w:rsid w:val="00C64761"/>
    <w:rsid w:val="00C81DF8"/>
    <w:rsid w:val="00CB336D"/>
    <w:rsid w:val="00CC0607"/>
    <w:rsid w:val="00CD5CCF"/>
    <w:rsid w:val="00D05DFA"/>
    <w:rsid w:val="00D078C3"/>
    <w:rsid w:val="00D15B16"/>
    <w:rsid w:val="00D20EF7"/>
    <w:rsid w:val="00D5153A"/>
    <w:rsid w:val="00D52827"/>
    <w:rsid w:val="00D66A0D"/>
    <w:rsid w:val="00D9142D"/>
    <w:rsid w:val="00DB5FE3"/>
    <w:rsid w:val="00DC764E"/>
    <w:rsid w:val="00E10C80"/>
    <w:rsid w:val="00E127A0"/>
    <w:rsid w:val="00E266CB"/>
    <w:rsid w:val="00E45D0E"/>
    <w:rsid w:val="00E5149B"/>
    <w:rsid w:val="00E92373"/>
    <w:rsid w:val="00EB2559"/>
    <w:rsid w:val="00EF4436"/>
    <w:rsid w:val="00F2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B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3B4B"/>
    <w:pPr>
      <w:tabs>
        <w:tab w:val="left" w:pos="360"/>
      </w:tabs>
    </w:pPr>
    <w:rPr>
      <w:rFonts w:ascii="Times" w:hAnsi="Times"/>
      <w:i/>
    </w:rPr>
  </w:style>
  <w:style w:type="paragraph" w:styleId="Header">
    <w:name w:val="header"/>
    <w:basedOn w:val="Normal"/>
    <w:rsid w:val="00383B4B"/>
    <w:pPr>
      <w:tabs>
        <w:tab w:val="center" w:pos="4320"/>
        <w:tab w:val="right" w:pos="8640"/>
      </w:tabs>
    </w:pPr>
  </w:style>
  <w:style w:type="paragraph" w:styleId="Footer">
    <w:name w:val="footer"/>
    <w:basedOn w:val="Normal"/>
    <w:rsid w:val="00383B4B"/>
    <w:pPr>
      <w:tabs>
        <w:tab w:val="center" w:pos="4320"/>
        <w:tab w:val="right" w:pos="8640"/>
      </w:tabs>
    </w:pPr>
  </w:style>
  <w:style w:type="paragraph" w:customStyle="1" w:styleId="Legalcopy">
    <w:name w:val="Legal copy"/>
    <w:basedOn w:val="Normal"/>
    <w:rsid w:val="00383B4B"/>
    <w:pPr>
      <w:spacing w:after="90" w:line="130" w:lineRule="atLeast"/>
    </w:pPr>
    <w:rPr>
      <w:rFonts w:ascii="Arial" w:hAnsi="Arial"/>
      <w:sz w:val="11"/>
    </w:rPr>
  </w:style>
  <w:style w:type="paragraph" w:customStyle="1" w:styleId="TableLogoText">
    <w:name w:val="Table Logo Text"/>
    <w:basedOn w:val="Normal"/>
    <w:rsid w:val="00383B4B"/>
    <w:rPr>
      <w:rFonts w:ascii="Arial" w:hAnsi="Arial"/>
      <w:position w:val="-4"/>
    </w:rPr>
  </w:style>
  <w:style w:type="character" w:customStyle="1" w:styleId="TextHide">
    <w:name w:val="Text Hide"/>
    <w:basedOn w:val="DefaultParagraphFont"/>
    <w:rsid w:val="00383B4B"/>
  </w:style>
  <w:style w:type="paragraph" w:styleId="DocumentMap">
    <w:name w:val="Document Map"/>
    <w:basedOn w:val="Normal"/>
    <w:link w:val="DocumentMapChar"/>
    <w:rsid w:val="00CB336D"/>
    <w:rPr>
      <w:rFonts w:ascii="Tahoma" w:hAnsi="Tahoma" w:cs="Tahoma"/>
      <w:sz w:val="16"/>
      <w:szCs w:val="16"/>
    </w:rPr>
  </w:style>
  <w:style w:type="character" w:customStyle="1" w:styleId="DocumentMapChar">
    <w:name w:val="Document Map Char"/>
    <w:basedOn w:val="DefaultParagraphFont"/>
    <w:link w:val="DocumentMap"/>
    <w:rsid w:val="00CB336D"/>
    <w:rPr>
      <w:rFonts w:ascii="Tahoma" w:hAnsi="Tahoma" w:cs="Tahoma"/>
      <w:sz w:val="16"/>
      <w:szCs w:val="16"/>
    </w:rPr>
  </w:style>
  <w:style w:type="paragraph" w:styleId="ListParagraph">
    <w:name w:val="List Paragraph"/>
    <w:basedOn w:val="Normal"/>
    <w:uiPriority w:val="34"/>
    <w:qFormat/>
    <w:rsid w:val="002403C8"/>
    <w:pPr>
      <w:ind w:left="720"/>
    </w:pPr>
  </w:style>
  <w:style w:type="character" w:styleId="Hyperlink">
    <w:name w:val="Hyperlink"/>
    <w:basedOn w:val="DefaultParagraphFont"/>
    <w:rsid w:val="007E6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B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3B4B"/>
    <w:pPr>
      <w:tabs>
        <w:tab w:val="left" w:pos="360"/>
      </w:tabs>
    </w:pPr>
    <w:rPr>
      <w:rFonts w:ascii="Times" w:hAnsi="Times"/>
      <w:i/>
    </w:rPr>
  </w:style>
  <w:style w:type="paragraph" w:styleId="Header">
    <w:name w:val="header"/>
    <w:basedOn w:val="Normal"/>
    <w:rsid w:val="00383B4B"/>
    <w:pPr>
      <w:tabs>
        <w:tab w:val="center" w:pos="4320"/>
        <w:tab w:val="right" w:pos="8640"/>
      </w:tabs>
    </w:pPr>
  </w:style>
  <w:style w:type="paragraph" w:styleId="Footer">
    <w:name w:val="footer"/>
    <w:basedOn w:val="Normal"/>
    <w:rsid w:val="00383B4B"/>
    <w:pPr>
      <w:tabs>
        <w:tab w:val="center" w:pos="4320"/>
        <w:tab w:val="right" w:pos="8640"/>
      </w:tabs>
    </w:pPr>
  </w:style>
  <w:style w:type="paragraph" w:customStyle="1" w:styleId="Legalcopy">
    <w:name w:val="Legal copy"/>
    <w:basedOn w:val="Normal"/>
    <w:rsid w:val="00383B4B"/>
    <w:pPr>
      <w:spacing w:after="90" w:line="130" w:lineRule="atLeast"/>
    </w:pPr>
    <w:rPr>
      <w:rFonts w:ascii="Arial" w:hAnsi="Arial"/>
      <w:sz w:val="11"/>
    </w:rPr>
  </w:style>
  <w:style w:type="paragraph" w:customStyle="1" w:styleId="TableLogoText">
    <w:name w:val="Table Logo Text"/>
    <w:basedOn w:val="Normal"/>
    <w:rsid w:val="00383B4B"/>
    <w:rPr>
      <w:rFonts w:ascii="Arial" w:hAnsi="Arial"/>
      <w:position w:val="-4"/>
    </w:rPr>
  </w:style>
  <w:style w:type="character" w:customStyle="1" w:styleId="TextHide">
    <w:name w:val="Text Hide"/>
    <w:basedOn w:val="DefaultParagraphFont"/>
    <w:rsid w:val="00383B4B"/>
  </w:style>
  <w:style w:type="paragraph" w:styleId="DocumentMap">
    <w:name w:val="Document Map"/>
    <w:basedOn w:val="Normal"/>
    <w:link w:val="DocumentMapChar"/>
    <w:rsid w:val="00CB336D"/>
    <w:rPr>
      <w:rFonts w:ascii="Tahoma" w:hAnsi="Tahoma" w:cs="Tahoma"/>
      <w:sz w:val="16"/>
      <w:szCs w:val="16"/>
    </w:rPr>
  </w:style>
  <w:style w:type="character" w:customStyle="1" w:styleId="DocumentMapChar">
    <w:name w:val="Document Map Char"/>
    <w:basedOn w:val="DefaultParagraphFont"/>
    <w:link w:val="DocumentMap"/>
    <w:rsid w:val="00CB336D"/>
    <w:rPr>
      <w:rFonts w:ascii="Tahoma" w:hAnsi="Tahoma" w:cs="Tahoma"/>
      <w:sz w:val="16"/>
      <w:szCs w:val="16"/>
    </w:rPr>
  </w:style>
  <w:style w:type="paragraph" w:styleId="ListParagraph">
    <w:name w:val="List Paragraph"/>
    <w:basedOn w:val="Normal"/>
    <w:uiPriority w:val="34"/>
    <w:qFormat/>
    <w:rsid w:val="002403C8"/>
    <w:pPr>
      <w:ind w:left="720"/>
    </w:pPr>
  </w:style>
  <w:style w:type="character" w:styleId="Hyperlink">
    <w:name w:val="Hyperlink"/>
    <w:basedOn w:val="DefaultParagraphFont"/>
    <w:rsid w:val="007E6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1B14-7BE8-44DC-8BC7-A9D636C3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Return Applicatios to:</vt:lpstr>
    </vt:vector>
  </TitlesOfParts>
  <Company>Seabury &amp; Smith</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Applicatios to:</dc:title>
  <dc:creator>Mary R. Kloock</dc:creator>
  <cp:lastModifiedBy>markk</cp:lastModifiedBy>
  <cp:revision>3</cp:revision>
  <cp:lastPrinted>2011-01-11T16:29:00Z</cp:lastPrinted>
  <dcterms:created xsi:type="dcterms:W3CDTF">2012-09-14T19:08:00Z</dcterms:created>
  <dcterms:modified xsi:type="dcterms:W3CDTF">2012-09-14T19:10:00Z</dcterms:modified>
</cp:coreProperties>
</file>